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5BAD" w14:textId="77777777" w:rsidR="00755A54" w:rsidRDefault="00000000">
      <w:pPr>
        <w:spacing w:before="1800" w:after="120"/>
        <w:jc w:val="center"/>
      </w:pPr>
      <w:r>
        <w:rPr>
          <w:b/>
          <w:bCs/>
          <w:color w:val="1F3864"/>
          <w:sz w:val="40"/>
          <w:szCs w:val="40"/>
        </w:rPr>
        <w:t>MERIDIAN HEALTH</w:t>
      </w:r>
    </w:p>
    <w:p w14:paraId="03D60A71" w14:textId="77777777" w:rsidR="00755A54" w:rsidRDefault="00000000">
      <w:pPr>
        <w:spacing w:after="80"/>
        <w:jc w:val="center"/>
      </w:pPr>
      <w:r>
        <w:rPr>
          <w:color w:val="2E5496"/>
          <w:sz w:val="24"/>
          <w:szCs w:val="24"/>
        </w:rPr>
        <w:t>Finance &amp; Warehouse Operations</w:t>
      </w:r>
    </w:p>
    <w:p w14:paraId="455B37A4" w14:textId="77777777" w:rsidR="00755A54" w:rsidRDefault="00000000">
      <w:pPr>
        <w:spacing w:after="600"/>
        <w:jc w:val="center"/>
      </w:pPr>
      <w:r>
        <w:rPr>
          <w:b/>
          <w:bCs/>
          <w:sz w:val="32"/>
          <w:szCs w:val="32"/>
        </w:rPr>
        <w:t>Inventory &amp; Warehouse Operations Manual</w:t>
      </w:r>
    </w:p>
    <w:p w14:paraId="577256F5" w14:textId="77777777" w:rsidR="00755A54" w:rsidRDefault="00000000">
      <w:pPr>
        <w:spacing w:after="80"/>
        <w:jc w:val="center"/>
      </w:pPr>
      <w:r>
        <w:rPr>
          <w:color w:val="595959"/>
        </w:rPr>
        <w:t>Standard Operating Procedures — Receiving, Storage, Cycle Counting,</w:t>
      </w:r>
    </w:p>
    <w:p w14:paraId="587EE0AD" w14:textId="77777777" w:rsidR="00755A54" w:rsidRDefault="00000000">
      <w:pPr>
        <w:spacing w:after="600"/>
        <w:jc w:val="center"/>
      </w:pPr>
      <w:r>
        <w:rPr>
          <w:color w:val="595959"/>
        </w:rPr>
        <w:t>Valuation, and Period-End Close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755A54" w14:paraId="4F3A9614"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67E275D" w14:textId="77777777" w:rsidR="00755A54" w:rsidRDefault="00000000">
            <w:r>
              <w:rPr>
                <w:b/>
                <w:bCs/>
                <w:color w:val="FFFFFF"/>
                <w:sz w:val="19"/>
                <w:szCs w:val="19"/>
              </w:rPr>
              <w:t>Field</w:t>
            </w:r>
          </w:p>
        </w:tc>
        <w:tc>
          <w:tcPr>
            <w:tcW w:w="6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0B8DE73" w14:textId="77777777" w:rsidR="00755A54" w:rsidRDefault="00000000">
            <w:r>
              <w:rPr>
                <w:b/>
                <w:bCs/>
                <w:color w:val="FFFFFF"/>
                <w:sz w:val="19"/>
                <w:szCs w:val="19"/>
              </w:rPr>
              <w:t>Detail</w:t>
            </w:r>
          </w:p>
        </w:tc>
      </w:tr>
      <w:tr w:rsidR="00755A54" w14:paraId="5D7F2C5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9C4EDE" w14:textId="77777777" w:rsidR="00755A54" w:rsidRDefault="00000000">
            <w:r>
              <w:rPr>
                <w:sz w:val="19"/>
                <w:szCs w:val="19"/>
              </w:rPr>
              <w:t>Document owner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8A522C" w14:textId="77777777" w:rsidR="00755A54" w:rsidRDefault="00000000">
            <w:r>
              <w:rPr>
                <w:sz w:val="19"/>
                <w:szCs w:val="19"/>
              </w:rPr>
              <w:t>Director, Finance Operations</w:t>
            </w:r>
          </w:p>
        </w:tc>
      </w:tr>
      <w:tr w:rsidR="00755A54" w14:paraId="189A64C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72D3DA18" w14:textId="77777777" w:rsidR="00755A54" w:rsidRDefault="00000000">
            <w:r>
              <w:rPr>
                <w:sz w:val="19"/>
                <w:szCs w:val="19"/>
              </w:rPr>
              <w:t>Co-owner</w:t>
            </w:r>
          </w:p>
        </w:tc>
        <w:tc>
          <w:tcPr>
            <w:tcW w:w="63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4462AD2D" w14:textId="77777777" w:rsidR="00755A54" w:rsidRDefault="00000000">
            <w:r>
              <w:rPr>
                <w:sz w:val="19"/>
                <w:szCs w:val="19"/>
              </w:rPr>
              <w:t>Warehouse &amp; Logistics Manager</w:t>
            </w:r>
          </w:p>
        </w:tc>
      </w:tr>
      <w:tr w:rsidR="00755A54" w14:paraId="60B2EFF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17E593" w14:textId="77777777" w:rsidR="00755A54" w:rsidRDefault="00000000">
            <w:r>
              <w:rPr>
                <w:sz w:val="19"/>
                <w:szCs w:val="19"/>
              </w:rPr>
              <w:t>Applies to</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CF31B7" w14:textId="77777777" w:rsidR="00755A54" w:rsidRDefault="00000000">
            <w:r>
              <w:rPr>
                <w:sz w:val="19"/>
                <w:szCs w:val="19"/>
              </w:rPr>
              <w:t>All distribution centres, 3PL sites, and consignment locations</w:t>
            </w:r>
          </w:p>
        </w:tc>
      </w:tr>
      <w:tr w:rsidR="00755A54" w14:paraId="50A6CC7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4BAC3F81" w14:textId="77777777" w:rsidR="00755A54" w:rsidRDefault="00000000">
            <w:r>
              <w:rPr>
                <w:sz w:val="19"/>
                <w:szCs w:val="19"/>
              </w:rPr>
              <w:t>Supersedes</w:t>
            </w:r>
          </w:p>
        </w:tc>
        <w:tc>
          <w:tcPr>
            <w:tcW w:w="63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2A0D05DE" w14:textId="77777777" w:rsidR="00755A54" w:rsidRDefault="00000000">
            <w:r>
              <w:rPr>
                <w:sz w:val="19"/>
                <w:szCs w:val="19"/>
              </w:rPr>
              <w:t>Rev. 5 (Effective 02-Jan-2025)</w:t>
            </w:r>
          </w:p>
        </w:tc>
      </w:tr>
      <w:tr w:rsidR="00755A54" w14:paraId="105A425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FFFC7B" w14:textId="77777777" w:rsidR="00755A54" w:rsidRDefault="00000000">
            <w:r>
              <w:rPr>
                <w:sz w:val="19"/>
                <w:szCs w:val="19"/>
              </w:rPr>
              <w:t>Next scheduled review</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85B414" w14:textId="77777777" w:rsidR="00755A54" w:rsidRDefault="00000000">
            <w:r>
              <w:rPr>
                <w:sz w:val="19"/>
                <w:szCs w:val="19"/>
              </w:rPr>
              <w:t>01-Oct-2026</w:t>
            </w:r>
          </w:p>
        </w:tc>
      </w:tr>
      <w:tr w:rsidR="00755A54" w14:paraId="2FCC736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71B03D6D" w14:textId="77777777" w:rsidR="00755A54" w:rsidRDefault="00000000">
            <w:r>
              <w:rPr>
                <w:sz w:val="19"/>
                <w:szCs w:val="19"/>
              </w:rPr>
              <w:t>Classification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11316A6C" w14:textId="77777777" w:rsidR="00755A54" w:rsidRDefault="00000000">
            <w:r>
              <w:rPr>
                <w:sz w:val="19"/>
                <w:szCs w:val="19"/>
              </w:rPr>
              <w:t>Internal — controlled copy</w:t>
            </w:r>
          </w:p>
        </w:tc>
      </w:tr>
    </w:tbl>
    <w:p w14:paraId="5173D271" w14:textId="77777777" w:rsidR="00755A54" w:rsidRDefault="00000000">
      <w:pPr>
        <w:spacing w:before="400"/>
        <w:jc w:val="center"/>
      </w:pPr>
      <w:r>
        <w:rPr>
          <w:i/>
          <w:iCs/>
          <w:color w:val="808080"/>
          <w:sz w:val="18"/>
          <w:szCs w:val="18"/>
        </w:rPr>
        <w:t>This manual contains controlled procedures. Printed copies are uncontrolled.</w:t>
      </w:r>
    </w:p>
    <w:p w14:paraId="635D1057" w14:textId="77777777" w:rsidR="00755A54" w:rsidRDefault="00000000">
      <w:r>
        <w:br w:type="page"/>
      </w:r>
    </w:p>
    <w:p w14:paraId="0448CAE7" w14:textId="77777777" w:rsidR="00755A54" w:rsidRDefault="00000000">
      <w:pPr>
        <w:pStyle w:val="Heading1"/>
      </w:pPr>
      <w:r>
        <w:lastRenderedPageBreak/>
        <w:t>1.  Purpose and Scope</w:t>
      </w:r>
    </w:p>
    <w:p w14:paraId="779CA59B" w14:textId="77777777" w:rsidR="00755A54" w:rsidRDefault="00000000">
      <w:pPr>
        <w:spacing w:after="120" w:line="276" w:lineRule="auto"/>
      </w:pPr>
      <w:r>
        <w:t>This Operations Manual sets out the standard operating procedures governing the receipt, storage, movement, counting, valuation, and period-end reporting of inventory held by Meridian Health and its affiliated distribution entities. It is intended to provide warehouse supervisors, inventory analysts, and finance personnel with a single authoritative reference for day-to-day inventory operations and for the controls that surround them.</w:t>
      </w:r>
    </w:p>
    <w:p w14:paraId="4F8A1329" w14:textId="77777777" w:rsidR="00755A54" w:rsidRDefault="00000000">
      <w:pPr>
        <w:spacing w:after="120" w:line="276" w:lineRule="auto"/>
      </w:pPr>
      <w:r>
        <w:t>Following the integration of the acquired distribution business during the fourth quarter, the previously separate warehouse management systems were consolidated onto a single platform. This manual reflects the harmonised procedures that apply to all sites from the effective date shown in the footer. Where a local site procedure conflicts with this manual, this manual prevails until a documented exception is approved by the Director of Finance Operations.</w:t>
      </w:r>
    </w:p>
    <w:p w14:paraId="7F0DDC4A" w14:textId="77777777" w:rsidR="00755A54" w:rsidRDefault="00000000">
      <w:pPr>
        <w:spacing w:after="120" w:line="276" w:lineRule="auto"/>
      </w:pPr>
      <w:r>
        <w:t>The procedures in this manual apply to all product categories handled by Meridian Health, including sterile injectables, oral solid dose products, laboratory reagents, nutraceuticals, cold-chain biologics, diagnostic kits, and ancillary packaging and consumables. Certain categories carry additional regulatory and storage obligations; those obligations are described in the relevant sections and in the category appendix.</w:t>
      </w:r>
    </w:p>
    <w:p w14:paraId="51C8FF43" w14:textId="77777777" w:rsidR="00755A54" w:rsidRDefault="00000000">
      <w:pPr>
        <w:pStyle w:val="Heading2"/>
      </w:pPr>
      <w:proofErr w:type="gramStart"/>
      <w:r>
        <w:t>1.1  How</w:t>
      </w:r>
      <w:proofErr w:type="gramEnd"/>
      <w:r>
        <w:t xml:space="preserve"> to use this manual</w:t>
      </w:r>
    </w:p>
    <w:p w14:paraId="26F59B43" w14:textId="77777777" w:rsidR="00755A54" w:rsidRDefault="00000000">
      <w:pPr>
        <w:spacing w:after="120" w:line="276" w:lineRule="auto"/>
      </w:pPr>
      <w:r>
        <w:t>The manual is organised to follow the physical and accounting flow of goods: from inbound receiving (Section 3), through storage and location management (Section 4), cycle counting and reconciliation (Section 5), and finally valuation and period-end reporting (Sections 6 and 7). Personnel are expected to be familiar with the sections relevant to their role. Finance personnel responsible for the quarterly close should pay particular attention to Sections 6 and 7, which set out the valuation conventions and the reserve policy used to state inventory at each reporting date.</w:t>
      </w:r>
    </w:p>
    <w:p w14:paraId="37521EB9" w14:textId="77777777" w:rsidR="00755A54" w:rsidRDefault="00000000">
      <w:pPr>
        <w:pStyle w:val="ListParagraph"/>
        <w:numPr>
          <w:ilvl w:val="0"/>
          <w:numId w:val="2"/>
        </w:numPr>
        <w:spacing w:after="80" w:line="276" w:lineRule="auto"/>
      </w:pPr>
      <w:r>
        <w:t>New joiners complete the inventory operations induction within their first two weeks.</w:t>
      </w:r>
    </w:p>
    <w:p w14:paraId="647180B0" w14:textId="77777777" w:rsidR="00755A54" w:rsidRDefault="00000000">
      <w:pPr>
        <w:pStyle w:val="ListParagraph"/>
        <w:numPr>
          <w:ilvl w:val="0"/>
          <w:numId w:val="2"/>
        </w:numPr>
        <w:spacing w:after="80" w:line="276" w:lineRule="auto"/>
      </w:pPr>
      <w:r>
        <w:t>Supervisors confirm annually that they have re-read Sections 4 through 7.</w:t>
      </w:r>
    </w:p>
    <w:p w14:paraId="7162C5D6" w14:textId="77777777" w:rsidR="00755A54" w:rsidRDefault="00000000">
      <w:pPr>
        <w:pStyle w:val="ListParagraph"/>
        <w:numPr>
          <w:ilvl w:val="0"/>
          <w:numId w:val="2"/>
        </w:numPr>
        <w:spacing w:after="80" w:line="276" w:lineRule="auto"/>
      </w:pPr>
      <w:r>
        <w:t xml:space="preserve">Any proposed change to a procedure is raised through the document owner and </w:t>
      </w:r>
      <w:proofErr w:type="gramStart"/>
      <w:r>
        <w:t>version-controlled</w:t>
      </w:r>
      <w:proofErr w:type="gramEnd"/>
      <w:r>
        <w:t>.</w:t>
      </w:r>
    </w:p>
    <w:p w14:paraId="754CA424" w14:textId="77777777" w:rsidR="00755A54" w:rsidRDefault="00000000">
      <w:pPr>
        <w:pStyle w:val="Heading1"/>
      </w:pPr>
      <w:r>
        <w:t>2.  Roles and Responsibilities</w:t>
      </w:r>
    </w:p>
    <w:p w14:paraId="1841ED98" w14:textId="77777777" w:rsidR="00755A54" w:rsidRDefault="00000000">
      <w:pPr>
        <w:spacing w:after="120" w:line="276" w:lineRule="auto"/>
      </w:pPr>
      <w:r>
        <w:t>Clear ownership of inventory tasks reduces error and supports segregation of duties. The table below summarises the principal roles. It is not exhaustive; detailed task ownership is maintained in the site responsibility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755A54" w14:paraId="1C54E445" w14:textId="77777777">
        <w:tblPrEx>
          <w:tblCellMar>
            <w:top w:w="0" w:type="dxa"/>
            <w:bottom w:w="0" w:type="dxa"/>
          </w:tblCellMar>
        </w:tblPrEx>
        <w:trPr>
          <w:tblHeader/>
        </w:trPr>
        <w:tc>
          <w:tcPr>
            <w:tcW w:w="2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444A514" w14:textId="77777777" w:rsidR="00755A54" w:rsidRDefault="00000000">
            <w:r>
              <w:rPr>
                <w:b/>
                <w:bCs/>
                <w:color w:val="FFFFFF"/>
                <w:sz w:val="19"/>
                <w:szCs w:val="19"/>
              </w:rPr>
              <w:t>Role</w:t>
            </w:r>
          </w:p>
        </w:tc>
        <w:tc>
          <w:tcPr>
            <w:tcW w:w="66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87DC755" w14:textId="77777777" w:rsidR="00755A54" w:rsidRDefault="00000000">
            <w:r>
              <w:rPr>
                <w:b/>
                <w:bCs/>
                <w:color w:val="FFFFFF"/>
                <w:sz w:val="19"/>
                <w:szCs w:val="19"/>
              </w:rPr>
              <w:t>Primary responsibilities</w:t>
            </w:r>
          </w:p>
        </w:tc>
      </w:tr>
      <w:tr w:rsidR="00755A54" w14:paraId="4EF80B2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C5DD1D" w14:textId="77777777" w:rsidR="00755A54" w:rsidRDefault="00000000">
            <w:r>
              <w:rPr>
                <w:sz w:val="19"/>
                <w:szCs w:val="19"/>
              </w:rPr>
              <w:t>Warehouse Operative</w:t>
            </w:r>
          </w:p>
        </w:tc>
        <w:tc>
          <w:tcPr>
            <w:tcW w:w="6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C0AEA0" w14:textId="77777777" w:rsidR="00755A54" w:rsidRDefault="00000000">
            <w:r>
              <w:rPr>
                <w:sz w:val="19"/>
                <w:szCs w:val="19"/>
              </w:rPr>
              <w:t>Physical receiving, put-away, picking, packing, and dispatch in line with this manual.</w:t>
            </w:r>
          </w:p>
        </w:tc>
      </w:tr>
      <w:tr w:rsidR="00755A54" w14:paraId="282868A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1CD11856" w14:textId="77777777" w:rsidR="00755A54" w:rsidRDefault="00000000">
            <w:r>
              <w:rPr>
                <w:sz w:val="19"/>
                <w:szCs w:val="19"/>
              </w:rPr>
              <w:lastRenderedPageBreak/>
              <w:t>Inventory Analyst</w:t>
            </w:r>
          </w:p>
        </w:tc>
        <w:tc>
          <w:tcPr>
            <w:tcW w:w="66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1C9F590F" w14:textId="77777777" w:rsidR="00755A54" w:rsidRDefault="00000000">
            <w:r>
              <w:rPr>
                <w:sz w:val="19"/>
                <w:szCs w:val="19"/>
              </w:rPr>
              <w:t>Cycle counts, exception investigation, system adjustments within delegated limits, and count reconciliation.</w:t>
            </w:r>
          </w:p>
        </w:tc>
      </w:tr>
      <w:tr w:rsidR="00755A54" w14:paraId="1CC3B3D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444841" w14:textId="77777777" w:rsidR="00755A54" w:rsidRDefault="00000000">
            <w:r>
              <w:rPr>
                <w:sz w:val="19"/>
                <w:szCs w:val="19"/>
              </w:rPr>
              <w:t>Warehouse Supervisor</w:t>
            </w:r>
          </w:p>
        </w:tc>
        <w:tc>
          <w:tcPr>
            <w:tcW w:w="6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94C12D" w14:textId="77777777" w:rsidR="00755A54" w:rsidRDefault="00000000">
            <w:r>
              <w:rPr>
                <w:sz w:val="19"/>
                <w:szCs w:val="19"/>
              </w:rPr>
              <w:t>Daily oversight, approval of adjustments above operative limits, and sign-off of cycle-count sheets.</w:t>
            </w:r>
          </w:p>
        </w:tc>
      </w:tr>
      <w:tr w:rsidR="00755A54" w14:paraId="26BFA1E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1AD70671" w14:textId="77777777" w:rsidR="00755A54" w:rsidRDefault="00000000">
            <w:r>
              <w:rPr>
                <w:sz w:val="19"/>
                <w:szCs w:val="19"/>
              </w:rPr>
              <w:t>Finance Operations Analyst</w:t>
            </w:r>
          </w:p>
        </w:tc>
        <w:tc>
          <w:tcPr>
            <w:tcW w:w="66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461ECD88" w14:textId="77777777" w:rsidR="00755A54" w:rsidRDefault="00000000">
            <w:r>
              <w:rPr>
                <w:sz w:val="19"/>
                <w:szCs w:val="19"/>
              </w:rPr>
              <w:t>Valuation workings, reserve calculation, period-end inventory reporting, and reconciliation to the general ledger.</w:t>
            </w:r>
          </w:p>
        </w:tc>
      </w:tr>
      <w:tr w:rsidR="00755A54" w14:paraId="38A1372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B2663F" w14:textId="77777777" w:rsidR="00755A54" w:rsidRDefault="00000000">
            <w:r>
              <w:rPr>
                <w:sz w:val="19"/>
                <w:szCs w:val="19"/>
              </w:rPr>
              <w:t>Director, Finance Operations</w:t>
            </w:r>
          </w:p>
        </w:tc>
        <w:tc>
          <w:tcPr>
            <w:tcW w:w="6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093E20" w14:textId="77777777" w:rsidR="00755A54" w:rsidRDefault="00000000">
            <w:r>
              <w:rPr>
                <w:sz w:val="19"/>
                <w:szCs w:val="19"/>
              </w:rPr>
              <w:t>Approval of valuation judgements, reserve policy exceptions, and the final reported inventory position.</w:t>
            </w:r>
          </w:p>
        </w:tc>
      </w:tr>
    </w:tbl>
    <w:p w14:paraId="1BCDB1CE" w14:textId="77777777" w:rsidR="00755A54" w:rsidRDefault="00000000">
      <w:pPr>
        <w:spacing w:after="120" w:line="276" w:lineRule="auto"/>
      </w:pPr>
      <w:r>
        <w:t>Provisioning of system access for these roles is governed by the access-control procedure maintained separately by the IT and Finance functions. As a general principle, no single individual should be able both to record the receipt or movement of inventory and to approve the financial adjustments arising from that movement. Where the post-merger access configuration has resulted in combined entitlements, those instances are tracked and remediated through the controls programme.</w:t>
      </w:r>
    </w:p>
    <w:p w14:paraId="3D2AEF1F" w14:textId="77777777" w:rsidR="00755A54" w:rsidRDefault="00000000">
      <w:pPr>
        <w:pStyle w:val="Heading1"/>
      </w:pPr>
      <w:r>
        <w:t>3.  Inbound Receiving and Goods-In</w:t>
      </w:r>
    </w:p>
    <w:p w14:paraId="33245673" w14:textId="77777777" w:rsidR="00755A54" w:rsidRDefault="00000000">
      <w:pPr>
        <w:spacing w:after="120" w:line="276" w:lineRule="auto"/>
      </w:pPr>
      <w:r>
        <w:t>All inbound deliveries are booked in against an expected receipt. Goods are not put away into sellable locations until they have passed goods-in inspection. The receiving process establishes the quantity, condition, lot number, manufacture date, and, where printed, the expiry date of each item received. Accurate capture at this stage is essential because downstream valuation depends on it.</w:t>
      </w:r>
    </w:p>
    <w:p w14:paraId="1415399F" w14:textId="77777777" w:rsidR="00755A54" w:rsidRDefault="00000000">
      <w:pPr>
        <w:pStyle w:val="Heading2"/>
      </w:pPr>
      <w:proofErr w:type="gramStart"/>
      <w:r>
        <w:t>3.1  Lot</w:t>
      </w:r>
      <w:proofErr w:type="gramEnd"/>
      <w:r>
        <w:t xml:space="preserve"> and date capture</w:t>
      </w:r>
    </w:p>
    <w:p w14:paraId="0D5032F3" w14:textId="77777777" w:rsidR="00755A54" w:rsidRDefault="00000000">
      <w:pPr>
        <w:spacing w:after="120" w:line="276" w:lineRule="auto"/>
      </w:pPr>
      <w:r>
        <w:t>Each receipt line is recorded against a lot number. The lot number is the primary key used throughout the inventory records and must match the manufacturer's lot marking exactly. For every lot, the receiving operative records the manufacture date from the product or its documentation. The expiry date is recorded where it is printed on the product, the packaging, or the accompanying certificate of analysis.</w:t>
      </w:r>
    </w:p>
    <w:p w14:paraId="58BF51DE" w14:textId="77777777" w:rsidR="00755A54" w:rsidRDefault="00000000">
      <w:pPr>
        <w:spacing w:after="120" w:line="276" w:lineRule="auto"/>
      </w:pPr>
      <w:r>
        <w:t xml:space="preserve">In practice, not every inbound lot arrives with a clearly printed expiry date. This is most common for bulk reagents, certain imported lines, and repackaged goods. Where the expiry date is missing, the receiving record is completed with the manufacture </w:t>
      </w:r>
      <w:proofErr w:type="gramStart"/>
      <w:r>
        <w:t>date</w:t>
      </w:r>
      <w:proofErr w:type="gramEnd"/>
      <w:r>
        <w:t xml:space="preserve"> and the expiry field is left blank for later determination using the convention set out in Section 6. Operatives must not guess or estimate an expiry date at the point of receipt; the blank field is deliberate and signals that the standard shelf-life convention applies.</w:t>
      </w:r>
    </w:p>
    <w:p w14:paraId="3EB49754" w14:textId="77777777" w:rsidR="00755A54" w:rsidRDefault="00000000">
      <w:pPr>
        <w:pStyle w:val="Heading2"/>
      </w:pPr>
      <w:proofErr w:type="gramStart"/>
      <w:r>
        <w:t>3.2  Condition</w:t>
      </w:r>
      <w:proofErr w:type="gramEnd"/>
      <w:r>
        <w:t xml:space="preserve"> and quarantine on receipt</w:t>
      </w:r>
    </w:p>
    <w:p w14:paraId="311E37A6" w14:textId="77777777" w:rsidR="00755A54" w:rsidRDefault="00000000">
      <w:pPr>
        <w:spacing w:after="120" w:line="276" w:lineRule="auto"/>
      </w:pPr>
      <w:r>
        <w:t>Goods received in damaged condition, with broken cold-chain integrity, or with a manufacturer hold or recall notice are routed directly to the quarantine area and are not made available for sale. Quarantined goods remain in the records but are flagged so that they are excluded from sellable stock and are subject to the valuation treatment in Section 6. The quarantine flag is only cleared by a supervisor following documented disposition.</w:t>
      </w:r>
    </w:p>
    <w:p w14:paraId="6F49B5BE" w14:textId="77777777" w:rsidR="00755A54" w:rsidRDefault="00000000">
      <w:pPr>
        <w:pStyle w:val="Heading1"/>
      </w:pPr>
      <w:r>
        <w:lastRenderedPageBreak/>
        <w:t>4.  Storage, Location Management, and Ownership</w:t>
      </w:r>
    </w:p>
    <w:p w14:paraId="79CE1D13" w14:textId="77777777" w:rsidR="00755A54" w:rsidRDefault="00000000">
      <w:pPr>
        <w:spacing w:after="120" w:line="276" w:lineRule="auto"/>
      </w:pPr>
      <w:r>
        <w:t>Inventory is stored according to its category, temperature requirements, and security classification. Beyond the physical considerations, this section establishes the ownership boundaries that determine which goods belong to Meridian Health at any point in time. Ownership, not physical location, governs whether an item is included in Meridian's inventory.</w:t>
      </w:r>
    </w:p>
    <w:p w14:paraId="733E670C" w14:textId="77777777" w:rsidR="00755A54" w:rsidRDefault="00000000">
      <w:pPr>
        <w:pStyle w:val="Heading2"/>
      </w:pPr>
      <w:proofErr w:type="gramStart"/>
      <w:r>
        <w:t>4.1  Goods</w:t>
      </w:r>
      <w:proofErr w:type="gramEnd"/>
      <w:r>
        <w:t xml:space="preserve"> in transit and shipping terms</w:t>
      </w:r>
    </w:p>
    <w:p w14:paraId="3C042F05" w14:textId="77777777" w:rsidR="00755A54" w:rsidRDefault="00000000">
      <w:pPr>
        <w:spacing w:after="120" w:line="276" w:lineRule="auto"/>
      </w:pPr>
      <w:r>
        <w:t>Goods can be physically absent from a Meridian warehouse yet still be owned by Meridian, and goods can be physically present yet already belong to a customer. The determining factor is the shipping term on the related order:</w:t>
      </w:r>
    </w:p>
    <w:p w14:paraId="078CAFCE" w14:textId="77777777" w:rsidR="00755A54" w:rsidRDefault="00000000">
      <w:pPr>
        <w:pStyle w:val="ListParagraph"/>
        <w:numPr>
          <w:ilvl w:val="0"/>
          <w:numId w:val="3"/>
        </w:numPr>
        <w:spacing w:after="80" w:line="276" w:lineRule="auto"/>
      </w:pPr>
      <w:r>
        <w:t>Under FOB Shipping Point (also recorded as Ex-Works or Shipping Point) terms, ownership and risk transfer to the customer when the goods leave the Meridian dock. Such goods cease to be Meridian inventory at the point of dispatch.</w:t>
      </w:r>
    </w:p>
    <w:p w14:paraId="3B413546" w14:textId="77777777" w:rsidR="00755A54" w:rsidRDefault="00000000">
      <w:pPr>
        <w:pStyle w:val="ListParagraph"/>
        <w:numPr>
          <w:ilvl w:val="0"/>
          <w:numId w:val="3"/>
        </w:numPr>
        <w:spacing w:after="80" w:line="276" w:lineRule="auto"/>
      </w:pPr>
      <w:r>
        <w:t>Under FOB Destination terms, ownership and risk remain with Meridian until the goods are delivered to and accepted by the customer. Goods shipped under FOB Destination that have left the dock but have not yet been delivered at the reporting date remain Meridian inventory and must be included in the period-end position at cost.</w:t>
      </w:r>
    </w:p>
    <w:p w14:paraId="4FA58430" w14:textId="77777777" w:rsidR="00755A54" w:rsidRDefault="00000000">
      <w:pPr>
        <w:spacing w:after="120" w:line="276" w:lineRule="auto"/>
      </w:pPr>
      <w:r>
        <w:t>This distinction is applied consistently between the revenue records and the inventory records. A unit that is correctly excluded from revenue because delivery has not occurred under FOB Destination terms is, by the same logic, still owned and must be carried in inventory. Finance personnel reconcile the two views at each close to ensure they are aligned.</w:t>
      </w:r>
    </w:p>
    <w:p w14:paraId="1BCD0366" w14:textId="77777777" w:rsidR="00755A54" w:rsidRDefault="00000000">
      <w:pPr>
        <w:pStyle w:val="Heading2"/>
      </w:pPr>
      <w:proofErr w:type="gramStart"/>
      <w:r>
        <w:t>4.2  Off</w:t>
      </w:r>
      <w:proofErr w:type="gramEnd"/>
      <w:r>
        <w:t>-site, consignment, and third-party locations</w:t>
      </w:r>
    </w:p>
    <w:p w14:paraId="2308315B" w14:textId="77777777" w:rsidR="00755A54" w:rsidRDefault="00000000">
      <w:pPr>
        <w:spacing w:after="120" w:line="276" w:lineRule="auto"/>
      </w:pPr>
      <w:r>
        <w:t>Not all Meridian-owned inventory sits in the main warehouse extract. Stock held at third-party logistics sites, at consignment locations pending sale, or in transit between sites is owned by Meridian and forms part of the reported position even though it may not appear in the primary warehouse system extract. The Finance Operations Analyst is responsible for identifying such off-extract owned inventory at each close — typically from correspondence with the controller, site managers, or 3PL partners — and for adding it to the valuation at its appropriate cost, subject to the same reserve and write-down policies as warehouse stock.</w:t>
      </w:r>
    </w:p>
    <w:p w14:paraId="0C5A269C" w14:textId="77777777" w:rsidR="00755A54" w:rsidRDefault="00000000">
      <w:pPr>
        <w:spacing w:after="120" w:line="276" w:lineRule="auto"/>
      </w:pPr>
      <w:r>
        <w:t>Conversely, goods physically present in a Meridian facility that are held on behalf of a third party (for example, customer-owned stock awaiting collection, or vendor-managed consignment inventory not yet drawn down) are not Meridian inventory and are excluded from the valuation.</w:t>
      </w:r>
    </w:p>
    <w:p w14:paraId="7987EB23" w14:textId="77777777" w:rsidR="00755A54" w:rsidRDefault="00000000">
      <w:pPr>
        <w:pStyle w:val="Heading1"/>
      </w:pPr>
      <w:r>
        <w:t>5.  Cycle Counting and Reconciliation</w:t>
      </w:r>
    </w:p>
    <w:p w14:paraId="6E548DF4" w14:textId="77777777" w:rsidR="00755A54" w:rsidRDefault="00000000">
      <w:pPr>
        <w:spacing w:after="120" w:line="276" w:lineRule="auto"/>
      </w:pPr>
      <w:r>
        <w:t xml:space="preserve">A perpetual inventory system is only as reliable as the discipline of counting that supports it. Meridian operates a continuous cycle-count programme rather than relying solely on an annual wall-to-wall </w:t>
      </w:r>
      <w:r>
        <w:lastRenderedPageBreak/>
        <w:t>count. High-value and fast-moving lines are counted more frequently than slow-moving or low-value lines.</w:t>
      </w:r>
    </w:p>
    <w:p w14:paraId="3CD6CD97" w14:textId="77777777" w:rsidR="00755A54" w:rsidRDefault="00000000">
      <w:pPr>
        <w:pStyle w:val="Heading2"/>
      </w:pPr>
      <w:proofErr w:type="gramStart"/>
      <w:r>
        <w:t>5.1  Duplicate</w:t>
      </w:r>
      <w:proofErr w:type="gramEnd"/>
      <w:r>
        <w:t xml:space="preserve"> and erroneous records</w:t>
      </w:r>
    </w:p>
    <w:p w14:paraId="1799EEC1" w14:textId="77777777" w:rsidR="00755A54" w:rsidRDefault="00000000">
      <w:pPr>
        <w:spacing w:after="120" w:line="276" w:lineRule="auto"/>
      </w:pPr>
      <w:r>
        <w:t>System migrations can introduce data artefacts. The most common are duplicate lot rows — where a single physical lot appears more than once in the extract — and lots that remain in the on-hand records despite having been fully shipped and relieved (sometimes called sold-but-unrelieved lots). Before any valuation is performed, the inventory extract is screened for exact-duplicate rows, which are removed so that no lot is counted more than once. Separately, lots that have been fully shipped under terms that transferred ownership are identified by matching the on-hand records against the shipment and order logs and are removed from the on-hand position, because the goods are no longer owned by Meridian.</w:t>
      </w:r>
    </w:p>
    <w:p w14:paraId="07690DE0" w14:textId="77777777" w:rsidR="00755A54" w:rsidRDefault="00000000">
      <w:pPr>
        <w:spacing w:after="120" w:line="276" w:lineRule="auto"/>
      </w:pPr>
      <w:r>
        <w:t>Care is required not to over-correct. Where a lot has been only partially shipped, the remaining on-hand quantity is genuine inventory and is retained. Only lots that are fully shipped with ownership transferred are relieved from the count. This judgement is documented in the reconciliation working papers.</w:t>
      </w:r>
    </w:p>
    <w:p w14:paraId="644600D9" w14:textId="77777777" w:rsidR="00755A54" w:rsidRDefault="00000000">
      <w:pPr>
        <w:pStyle w:val="Heading2"/>
      </w:pPr>
      <w:proofErr w:type="gramStart"/>
      <w:r>
        <w:t>5.2  Adjustment</w:t>
      </w:r>
      <w:proofErr w:type="gramEnd"/>
      <w:r>
        <w:t xml:space="preserve"> authorisation</w:t>
      </w:r>
    </w:p>
    <w:p w14:paraId="6C9B60B1" w14:textId="77777777" w:rsidR="00755A54" w:rsidRDefault="00000000">
      <w:pPr>
        <w:spacing w:after="120" w:line="276" w:lineRule="auto"/>
      </w:pPr>
      <w:r>
        <w:t>Count differences within the analyst's delegated tolerance are posted by the analyst and reviewed by the supervisor. Differences above tolerance are investigated before any adjustment is posted, and the adjustment is approved by the supervisor or, above a higher threshold, by Finance Operations. All adjustments leave an audit trail recording who counted, who investigated, and who approved.</w:t>
      </w:r>
    </w:p>
    <w:p w14:paraId="1FD95AAB" w14:textId="77777777" w:rsidR="00755A54" w:rsidRDefault="00000000">
      <w:pPr>
        <w:pStyle w:val="Heading1"/>
      </w:pPr>
      <w:r>
        <w:t>6.  Inventory Valuation and Reserve Policy</w:t>
      </w:r>
    </w:p>
    <w:p w14:paraId="7078090A" w14:textId="77777777" w:rsidR="00755A54" w:rsidRDefault="00000000">
      <w:pPr>
        <w:spacing w:after="120" w:line="276" w:lineRule="auto"/>
      </w:pPr>
      <w:r>
        <w:t>This section sets out how inventory is valued for period-end reporting. It is the most important section for finance personnel preparing the quarterly close and must be applied consistently across all sites and categories. The valuation is built up lot by lot from the cleaned on-hand position established under Section 5, with the adjustments and reserves described below.</w:t>
      </w:r>
    </w:p>
    <w:p w14:paraId="47FFCA4E" w14:textId="77777777" w:rsidR="00755A54" w:rsidRDefault="00000000">
      <w:pPr>
        <w:pStyle w:val="Heading2"/>
      </w:pPr>
      <w:proofErr w:type="gramStart"/>
      <w:r>
        <w:t>6.1  Basis</w:t>
      </w:r>
      <w:proofErr w:type="gramEnd"/>
      <w:r>
        <w:t xml:space="preserve"> of valuation</w:t>
      </w:r>
    </w:p>
    <w:p w14:paraId="3B00EDF9" w14:textId="77777777" w:rsidR="00755A54" w:rsidRDefault="00000000">
      <w:pPr>
        <w:spacing w:after="120" w:line="276" w:lineRule="auto"/>
      </w:pPr>
      <w:r>
        <w:t>Inventory is recorded at cost on receipt, using the actual purchase cost of each lot. Cost includes the purchase price and directly attributable inbound costs where these are separately identified. The unit cost recorded against a lot is used for all subsequent valuation steps unless a write-down to net realisable value is required as described below.</w:t>
      </w:r>
    </w:p>
    <w:p w14:paraId="2DB648EB" w14:textId="77777777" w:rsidR="00755A54" w:rsidRDefault="00000000">
      <w:pPr>
        <w:pStyle w:val="Heading2"/>
      </w:pPr>
      <w:proofErr w:type="gramStart"/>
      <w:r>
        <w:t>6.2  Determining</w:t>
      </w:r>
      <w:proofErr w:type="gramEnd"/>
      <w:r>
        <w:t xml:space="preserve"> expiry where none is printed</w:t>
      </w:r>
    </w:p>
    <w:p w14:paraId="45182295" w14:textId="77777777" w:rsidR="00755A54" w:rsidRDefault="00000000">
      <w:pPr>
        <w:spacing w:after="120" w:line="276" w:lineRule="auto"/>
      </w:pPr>
      <w:r>
        <w:t xml:space="preserve">Many valuation judgements depend on the expiry date of a lot. As noted in Section 3, some lots are received without a printed expiry </w:t>
      </w:r>
      <w:proofErr w:type="gramStart"/>
      <w:r>
        <w:t>date</w:t>
      </w:r>
      <w:proofErr w:type="gramEnd"/>
      <w:r>
        <w:t xml:space="preserve"> and the expiry field is left blank. For valuation purposes, the expiry of such a lot is not treated as unknown or indefinite. Instead, it is determined from the manufacture date by adding the standard shelf life for the lot's product category. The standard shelf </w:t>
      </w:r>
      <w:r>
        <w:lastRenderedPageBreak/>
        <w:t>lives are set centrally and reviewed annually with Quality Assurance; they are reproduced here so that the convention is unambiguous when blank-expiry lots are encountered during the close.</w:t>
      </w:r>
    </w:p>
    <w:p w14:paraId="49F38558" w14:textId="77777777" w:rsidR="00755A54" w:rsidRDefault="00000000">
      <w:pPr>
        <w:spacing w:before="60" w:after="120" w:line="276" w:lineRule="auto"/>
      </w:pPr>
      <w:r>
        <w:rPr>
          <w:b/>
          <w:bCs/>
        </w:rPr>
        <w:t xml:space="preserve">Where a lot has no printed </w:t>
      </w:r>
      <w:proofErr w:type="spellStart"/>
      <w:r>
        <w:rPr>
          <w:b/>
          <w:bCs/>
        </w:rPr>
        <w:t>Expiry_Date</w:t>
      </w:r>
      <w:proofErr w:type="spellEnd"/>
      <w:r>
        <w:rPr>
          <w:b/>
          <w:bCs/>
        </w:rPr>
        <w:t xml:space="preserve">, expiry = </w:t>
      </w:r>
      <w:proofErr w:type="spellStart"/>
      <w:r>
        <w:rPr>
          <w:b/>
          <w:bCs/>
        </w:rPr>
        <w:t>Manufacture_Date</w:t>
      </w:r>
      <w:proofErr w:type="spellEnd"/>
      <w:r>
        <w:rPr>
          <w:b/>
          <w:bCs/>
        </w:rPr>
        <w:t xml:space="preserve"> + shelf life for its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55A54" w14:paraId="4821AC59" w14:textId="77777777">
        <w:tblPrEx>
          <w:tblCellMar>
            <w:top w:w="0" w:type="dxa"/>
            <w:bottom w:w="0" w:type="dxa"/>
          </w:tblCellMar>
        </w:tblPrEx>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E4F6B4B" w14:textId="77777777" w:rsidR="00755A54" w:rsidRDefault="00000000">
            <w:r>
              <w:rPr>
                <w:b/>
                <w:bCs/>
                <w:color w:val="FFFFFF"/>
                <w:sz w:val="19"/>
                <w:szCs w:val="19"/>
              </w:rPr>
              <w:t>Product category</w:t>
            </w:r>
          </w:p>
        </w:tc>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7D3EC6B" w14:textId="77777777" w:rsidR="00755A54" w:rsidRDefault="00000000">
            <w:r>
              <w:rPr>
                <w:b/>
                <w:bCs/>
                <w:color w:val="FFFFFF"/>
                <w:sz w:val="19"/>
                <w:szCs w:val="19"/>
              </w:rPr>
              <w:t>Standard shelf life</w:t>
            </w:r>
          </w:p>
        </w:tc>
      </w:tr>
      <w:tr w:rsidR="00755A54" w14:paraId="33168A0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DDA640" w14:textId="77777777" w:rsidR="00755A54" w:rsidRDefault="00000000">
            <w:r>
              <w:rPr>
                <w:sz w:val="19"/>
                <w:szCs w:val="19"/>
              </w:rPr>
              <w:t>Sterile Injectables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3FCFE0" w14:textId="77777777" w:rsidR="00755A54" w:rsidRDefault="00000000">
            <w:r>
              <w:rPr>
                <w:sz w:val="19"/>
                <w:szCs w:val="19"/>
              </w:rPr>
              <w:t>24 months</w:t>
            </w:r>
          </w:p>
        </w:tc>
      </w:tr>
      <w:tr w:rsidR="00755A54" w14:paraId="055E042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02BB3872" w14:textId="77777777" w:rsidR="00755A54" w:rsidRDefault="00000000">
            <w:r>
              <w:rPr>
                <w:sz w:val="19"/>
                <w:szCs w:val="19"/>
              </w:rPr>
              <w:t>Oral Solids</w:t>
            </w:r>
          </w:p>
        </w:tc>
        <w:tc>
          <w:tcPr>
            <w:tcW w:w="468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63711C78" w14:textId="77777777" w:rsidR="00755A54" w:rsidRDefault="00000000">
            <w:r>
              <w:rPr>
                <w:sz w:val="19"/>
                <w:szCs w:val="19"/>
              </w:rPr>
              <w:t>36 months</w:t>
            </w:r>
          </w:p>
        </w:tc>
      </w:tr>
      <w:tr w:rsidR="00755A54" w14:paraId="79CB3E8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16359" w14:textId="77777777" w:rsidR="00755A54" w:rsidRDefault="00000000">
            <w:r>
              <w:rPr>
                <w:sz w:val="19"/>
                <w:szCs w:val="19"/>
              </w:rPr>
              <w:t>Reagents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DCFC63" w14:textId="77777777" w:rsidR="00755A54" w:rsidRDefault="00000000">
            <w:r>
              <w:rPr>
                <w:sz w:val="19"/>
                <w:szCs w:val="19"/>
              </w:rPr>
              <w:t>12 months</w:t>
            </w:r>
          </w:p>
        </w:tc>
      </w:tr>
      <w:tr w:rsidR="00755A54" w14:paraId="25D77A3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0529B1DC" w14:textId="77777777" w:rsidR="00755A54" w:rsidRDefault="00000000">
            <w:r>
              <w:rPr>
                <w:sz w:val="19"/>
                <w:szCs w:val="19"/>
              </w:rPr>
              <w:t>Nutraceuticals</w:t>
            </w:r>
          </w:p>
        </w:tc>
        <w:tc>
          <w:tcPr>
            <w:tcW w:w="468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2B98F40E" w14:textId="77777777" w:rsidR="00755A54" w:rsidRDefault="00000000">
            <w:r>
              <w:rPr>
                <w:sz w:val="19"/>
                <w:szCs w:val="19"/>
              </w:rPr>
              <w:t>18 months</w:t>
            </w:r>
          </w:p>
        </w:tc>
      </w:tr>
      <w:tr w:rsidR="00755A54" w14:paraId="1377589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78E54D" w14:textId="77777777" w:rsidR="00755A54" w:rsidRDefault="00000000">
            <w:r>
              <w:rPr>
                <w:sz w:val="19"/>
                <w:szCs w:val="19"/>
              </w:rPr>
              <w:t>Cold-Chain Biologics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0199D4" w14:textId="77777777" w:rsidR="00755A54" w:rsidRDefault="00000000">
            <w:r>
              <w:rPr>
                <w:sz w:val="19"/>
                <w:szCs w:val="19"/>
              </w:rPr>
              <w:t>6 months</w:t>
            </w:r>
          </w:p>
        </w:tc>
      </w:tr>
      <w:tr w:rsidR="00755A54" w14:paraId="17DD442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648DAAEF" w14:textId="77777777" w:rsidR="00755A54" w:rsidRDefault="00000000">
            <w:r>
              <w:rPr>
                <w:sz w:val="19"/>
                <w:szCs w:val="19"/>
              </w:rPr>
              <w:t>Diagnostic Kits</w:t>
            </w:r>
          </w:p>
        </w:tc>
        <w:tc>
          <w:tcPr>
            <w:tcW w:w="468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29E3811F" w14:textId="77777777" w:rsidR="00755A54" w:rsidRDefault="00000000">
            <w:r>
              <w:rPr>
                <w:sz w:val="19"/>
                <w:szCs w:val="19"/>
              </w:rPr>
              <w:t>9 months</w:t>
            </w:r>
          </w:p>
        </w:tc>
      </w:tr>
      <w:tr w:rsidR="00755A54" w14:paraId="3F7E173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8B4C81" w14:textId="77777777" w:rsidR="00755A54" w:rsidRDefault="00000000">
            <w:r>
              <w:rPr>
                <w:sz w:val="19"/>
                <w:szCs w:val="19"/>
              </w:rPr>
              <w:t>Packaging</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02B246" w14:textId="77777777" w:rsidR="00755A54" w:rsidRDefault="00000000">
            <w:r>
              <w:rPr>
                <w:sz w:val="19"/>
                <w:szCs w:val="19"/>
              </w:rPr>
              <w:t>Non-expiring (assess for obsolescence separately)</w:t>
            </w:r>
          </w:p>
        </w:tc>
      </w:tr>
    </w:tbl>
    <w:p w14:paraId="634DBFD8" w14:textId="77777777" w:rsidR="00755A54" w:rsidRDefault="00000000">
      <w:pPr>
        <w:spacing w:before="80" w:after="120" w:line="276" w:lineRule="auto"/>
      </w:pPr>
      <w:r>
        <w:t>The imputed expiry date derived in this way is used for the reserve assessment in the same manner as a printed expiry date. Packaging is treated as non-expiring; it carries no shelf-life reserve and is instead assessed for obsolescence on its own merits.</w:t>
      </w:r>
    </w:p>
    <w:p w14:paraId="38C5AF04" w14:textId="77777777" w:rsidR="00755A54" w:rsidRDefault="00000000">
      <w:pPr>
        <w:pStyle w:val="Heading2"/>
      </w:pPr>
      <w:proofErr w:type="gramStart"/>
      <w:r>
        <w:t>6.3  Reserve</w:t>
      </w:r>
      <w:proofErr w:type="gramEnd"/>
      <w:r>
        <w:t xml:space="preserve"> policy</w:t>
      </w:r>
    </w:p>
    <w:p w14:paraId="12D7F55D" w14:textId="77777777" w:rsidR="00755A54" w:rsidRDefault="00000000">
      <w:pPr>
        <w:spacing w:after="120" w:line="276" w:lineRule="auto"/>
      </w:pPr>
      <w:r>
        <w:t>Having established the expiry date of each lot — whether printed or imputed under 6.2 — the following reserve policy is applied as at the valuation date to state inventory at its appropriate carrying value. The reserve tiers are based on the time remaining to expiry:</w:t>
      </w:r>
    </w:p>
    <w:p w14:paraId="01EC9A26" w14:textId="77777777" w:rsidR="00755A54" w:rsidRDefault="00000000">
      <w:pPr>
        <w:pStyle w:val="ListParagraph"/>
        <w:numPr>
          <w:ilvl w:val="0"/>
          <w:numId w:val="3"/>
        </w:numPr>
        <w:spacing w:after="80" w:line="276" w:lineRule="auto"/>
      </w:pPr>
      <w:r>
        <w:t>Expired (expiry on or before the valuation date): write the lot down to NIL — a 100% reserve. Expired stock is quarantined and destroyed.</w:t>
      </w:r>
    </w:p>
    <w:p w14:paraId="6CE26178" w14:textId="77777777" w:rsidR="00755A54" w:rsidRDefault="00000000">
      <w:pPr>
        <w:pStyle w:val="ListParagraph"/>
        <w:numPr>
          <w:ilvl w:val="0"/>
          <w:numId w:val="3"/>
        </w:numPr>
        <w:spacing w:after="80" w:line="276" w:lineRule="auto"/>
      </w:pPr>
      <w:r>
        <w:t>Short-dated, with 90 days or fewer remaining to expiry: apply a 50% reserve.</w:t>
      </w:r>
    </w:p>
    <w:p w14:paraId="43C2253E" w14:textId="77777777" w:rsidR="00755A54" w:rsidRDefault="00000000">
      <w:pPr>
        <w:pStyle w:val="ListParagraph"/>
        <w:numPr>
          <w:ilvl w:val="0"/>
          <w:numId w:val="3"/>
        </w:numPr>
        <w:spacing w:after="80" w:line="276" w:lineRule="auto"/>
      </w:pPr>
      <w:r>
        <w:t>With 91 to 180 days remaining to expiry: apply a 25% reserve.</w:t>
      </w:r>
    </w:p>
    <w:p w14:paraId="0A1B9478" w14:textId="4E66B5BF" w:rsidR="00755A54" w:rsidRDefault="00000000">
      <w:pPr>
        <w:pStyle w:val="ListParagraph"/>
        <w:numPr>
          <w:ilvl w:val="0"/>
          <w:numId w:val="3"/>
        </w:numPr>
        <w:spacing w:after="80" w:line="276" w:lineRule="auto"/>
      </w:pPr>
      <w:r>
        <w:t xml:space="preserve">Inventory that is not otherwise written down is carried at the lower of cost or net realisable value (NRV). </w:t>
      </w:r>
    </w:p>
    <w:p w14:paraId="5F1B6402" w14:textId="77777777" w:rsidR="00755A54" w:rsidRDefault="00000000">
      <w:pPr>
        <w:spacing w:before="80" w:after="120" w:line="276" w:lineRule="auto"/>
      </w:pPr>
      <w:r>
        <w:t>The reserve tiers are mutually exclusive in application: a lot is assessed once against the tier that matches its time-to-expiry, and a lot already written down to nil because it is expired does not additionally attract a short-dated reserve. Recalled or quarantined lots, and lots confirmed unsaleable by quality alerts, are written down to nil regardless of their expiry profile.</w:t>
      </w:r>
    </w:p>
    <w:p w14:paraId="38D88535" w14:textId="77777777" w:rsidR="00755A54" w:rsidRDefault="00000000">
      <w:pPr>
        <w:pStyle w:val="Heading2"/>
      </w:pPr>
      <w:proofErr w:type="gramStart"/>
      <w:r>
        <w:t>6.4  Net</w:t>
      </w:r>
      <w:proofErr w:type="gramEnd"/>
      <w:r>
        <w:t xml:space="preserve"> realisable value</w:t>
      </w:r>
    </w:p>
    <w:p w14:paraId="657B0BFB" w14:textId="77777777" w:rsidR="00755A54" w:rsidRDefault="00000000">
      <w:pPr>
        <w:spacing w:after="120" w:line="276" w:lineRule="auto"/>
      </w:pPr>
      <w:r>
        <w:t xml:space="preserve">Net realisable value is the estimated selling price in the ordinary course of business less the estimated costs necessary to make the sale. Where evidence — such as a confirmed reduced selling price, a customer return, or a market notice — indicates that NRV has fallen below the lot's cost, the lot is written down to NRV. The write-down is the difference between cost and NRV. Consistent with the </w:t>
      </w:r>
      <w:r>
        <w:lastRenderedPageBreak/>
        <w:t>lower-of-cost-or-NRV principle, lots whose NRV is at or above cost are left at cost; an increase in NRV is never recognised as an uplift in carrying value.</w:t>
      </w:r>
    </w:p>
    <w:p w14:paraId="3C879232" w14:textId="77777777" w:rsidR="00755A54" w:rsidRDefault="00000000">
      <w:pPr>
        <w:pStyle w:val="Heading2"/>
      </w:pPr>
      <w:proofErr w:type="gramStart"/>
      <w:r>
        <w:t>6.5  Recall</w:t>
      </w:r>
      <w:proofErr w:type="gramEnd"/>
      <w:r>
        <w:t>, quarantine, and quality alerts</w:t>
      </w:r>
    </w:p>
    <w:p w14:paraId="3800653A" w14:textId="77777777" w:rsidR="00755A54" w:rsidRDefault="00000000">
      <w:pPr>
        <w:spacing w:after="120" w:line="276" w:lineRule="auto"/>
      </w:pPr>
      <w:r>
        <w:t>Lots that are the subject of a current recall, a quarantine hold, or a quality alert confirming that the goods are unsaleable are written down to nil and removed from sellable stock. Care is taken to apply only current alerts: a historical alert from a prior period that has since been resolved or that relates to a lot no longer on hand does not give rise to a current-period write-down, and a stale short-dated notice from a much earlier period is not treated as evidence of a current short-dated position. Where the status of an alert is genuinely uncertain, the prudent treatment is to reserve the affected lot and to flag the judgement for review by Finance Operations.</w:t>
      </w:r>
    </w:p>
    <w:p w14:paraId="02382C7A" w14:textId="77777777" w:rsidR="00755A54" w:rsidRDefault="00000000">
      <w:pPr>
        <w:pStyle w:val="Heading1"/>
      </w:pPr>
      <w:r>
        <w:t>7.  Period-End Inventory Reporting</w:t>
      </w:r>
    </w:p>
    <w:p w14:paraId="400F05F5" w14:textId="77777777" w:rsidR="00755A54" w:rsidRDefault="00000000">
      <w:pPr>
        <w:spacing w:after="120" w:line="276" w:lineRule="auto"/>
      </w:pPr>
      <w:r>
        <w:t>At each reporting date the Finance Operations Analyst prepares an inventory valuation that ties to the general ledger and is supported by a clear build-up, or bridge, from the raw extract to the final reported figure. The bridge makes every adjustment visible and traceable.</w:t>
      </w:r>
    </w:p>
    <w:p w14:paraId="1B646658" w14:textId="77777777" w:rsidR="00755A54" w:rsidRDefault="00000000">
      <w:pPr>
        <w:pStyle w:val="Heading2"/>
      </w:pPr>
      <w:proofErr w:type="gramStart"/>
      <w:r>
        <w:t>7.1  The</w:t>
      </w:r>
      <w:proofErr w:type="gramEnd"/>
      <w:r>
        <w:t xml:space="preserve"> inventory bridge</w:t>
      </w:r>
    </w:p>
    <w:p w14:paraId="75B6FC62" w14:textId="77777777" w:rsidR="00755A54" w:rsidRDefault="00000000">
      <w:pPr>
        <w:spacing w:after="120" w:line="276" w:lineRule="auto"/>
      </w:pPr>
      <w:r>
        <w:t>The bridge begins with the gross warehouse extract after duplicate removal and then layers in the adjustments described in this manual. A typical bridge proceeds as follows:</w:t>
      </w:r>
    </w:p>
    <w:p w14:paraId="07FD2135" w14:textId="77777777" w:rsidR="00755A54" w:rsidRDefault="00000000">
      <w:pPr>
        <w:pStyle w:val="ListParagraph"/>
        <w:numPr>
          <w:ilvl w:val="0"/>
          <w:numId w:val="4"/>
        </w:numPr>
        <w:spacing w:after="80" w:line="276" w:lineRule="auto"/>
      </w:pPr>
      <w:r>
        <w:t>Gross warehouse value after removal of exact-duplicate lot rows (Section 5.1).</w:t>
      </w:r>
    </w:p>
    <w:p w14:paraId="14EFAD6C" w14:textId="77777777" w:rsidR="00755A54" w:rsidRDefault="00000000">
      <w:pPr>
        <w:pStyle w:val="ListParagraph"/>
        <w:numPr>
          <w:ilvl w:val="0"/>
          <w:numId w:val="4"/>
        </w:numPr>
        <w:spacing w:after="80" w:line="276" w:lineRule="auto"/>
      </w:pPr>
      <w:r>
        <w:t>Less: lots fully shipped with ownership transferred but not yet relieved from the on-hand records (Section 5.1).</w:t>
      </w:r>
    </w:p>
    <w:p w14:paraId="49DCC06E" w14:textId="77777777" w:rsidR="00755A54" w:rsidRDefault="00000000">
      <w:pPr>
        <w:pStyle w:val="ListParagraph"/>
        <w:numPr>
          <w:ilvl w:val="0"/>
          <w:numId w:val="4"/>
        </w:numPr>
        <w:spacing w:after="80" w:line="276" w:lineRule="auto"/>
      </w:pPr>
      <w:r>
        <w:t>Add: FOB Destination goods shipped before the reporting date but not yet delivered, which remain Meridian-owned (Section 4.1).</w:t>
      </w:r>
    </w:p>
    <w:p w14:paraId="34CF1EA4" w14:textId="77777777" w:rsidR="00755A54" w:rsidRDefault="00000000">
      <w:pPr>
        <w:pStyle w:val="ListParagraph"/>
        <w:numPr>
          <w:ilvl w:val="0"/>
          <w:numId w:val="4"/>
        </w:numPr>
        <w:spacing w:after="80" w:line="276" w:lineRule="auto"/>
      </w:pPr>
      <w:r>
        <w:t>Add: off-extract owned inventory at third-party, consignment, or in-transit locations (Section 4.2).</w:t>
      </w:r>
    </w:p>
    <w:p w14:paraId="08D75BE3" w14:textId="77777777" w:rsidR="00755A54" w:rsidRDefault="00000000">
      <w:pPr>
        <w:pStyle w:val="ListParagraph"/>
        <w:numPr>
          <w:ilvl w:val="0"/>
          <w:numId w:val="4"/>
        </w:numPr>
        <w:spacing w:after="80" w:line="276" w:lineRule="auto"/>
      </w:pPr>
      <w:r>
        <w:t>Less: expiry, short-dated, recall, quarantine, and NRV reserves and write-downs (Section 6).</w:t>
      </w:r>
    </w:p>
    <w:p w14:paraId="48ECD2EE" w14:textId="77777777" w:rsidR="00755A54" w:rsidRDefault="00000000">
      <w:pPr>
        <w:pStyle w:val="ListParagraph"/>
        <w:numPr>
          <w:ilvl w:val="0"/>
          <w:numId w:val="4"/>
        </w:numPr>
        <w:spacing w:after="80" w:line="276" w:lineRule="auto"/>
      </w:pPr>
      <w:r>
        <w:t>Equals: net inventory at the reporting date.</w:t>
      </w:r>
    </w:p>
    <w:p w14:paraId="4064C888" w14:textId="77777777" w:rsidR="00755A54" w:rsidRDefault="00000000">
      <w:pPr>
        <w:spacing w:before="80" w:after="120" w:line="276" w:lineRule="auto"/>
      </w:pPr>
      <w:r>
        <w:t xml:space="preserve">Each line of the bridge is supported by working papers identifying the lots affected, the evidence relied upon, and the calculation applied. The reported figure is reconciled to the general </w:t>
      </w:r>
      <w:proofErr w:type="gramStart"/>
      <w:r>
        <w:t>ledger</w:t>
      </w:r>
      <w:proofErr w:type="gramEnd"/>
      <w:r>
        <w:t xml:space="preserve"> and any difference is investigated and explained before the position is finalised.</w:t>
      </w:r>
    </w:p>
    <w:p w14:paraId="756DDB9A" w14:textId="77777777" w:rsidR="00755A54" w:rsidRDefault="00000000">
      <w:pPr>
        <w:pStyle w:val="Heading2"/>
      </w:pPr>
      <w:proofErr w:type="gramStart"/>
      <w:r>
        <w:t>7.2  Documentation</w:t>
      </w:r>
      <w:proofErr w:type="gramEnd"/>
      <w:r>
        <w:t xml:space="preserve"> and sign-off</w:t>
      </w:r>
    </w:p>
    <w:p w14:paraId="128E86C1" w14:textId="77777777" w:rsidR="00755A54" w:rsidRDefault="00000000">
      <w:pPr>
        <w:spacing w:after="120" w:line="276" w:lineRule="auto"/>
      </w:pPr>
      <w:r>
        <w:t xml:space="preserve">The valuation working papers, the bridge, and the supporting evidence are retained for each close. The Director of Finance Operations reviews and approves the final position, paying particular attention to the judgemental items: imputed expiries, reserve tier assignments, NRV write-downs, treatment of </w:t>
      </w:r>
      <w:r>
        <w:lastRenderedPageBreak/>
        <w:t>recall and quality alerts, and the inclusion of off-extract and in-transit owned inventory. Approval is evidenced before the figure is released for reporting.</w:t>
      </w:r>
    </w:p>
    <w:p w14:paraId="00D44B7F" w14:textId="77777777" w:rsidR="00755A54" w:rsidRDefault="00000000">
      <w:pPr>
        <w:pStyle w:val="Heading1"/>
      </w:pPr>
      <w:r>
        <w:t>8.  Related Documents and Definitions</w:t>
      </w:r>
    </w:p>
    <w:p w14:paraId="6B60EF25" w14:textId="77777777" w:rsidR="00755A54" w:rsidRDefault="00000000">
      <w:pPr>
        <w:spacing w:after="120" w:line="276" w:lineRule="auto"/>
      </w:pPr>
      <w:r>
        <w:t>This manual should be read alongside the documents listed below, which provide further detail on adjacent processes.</w:t>
      </w:r>
    </w:p>
    <w:p w14:paraId="00C35E80" w14:textId="77777777" w:rsidR="00755A54" w:rsidRDefault="00000000">
      <w:pPr>
        <w:pStyle w:val="ListParagraph"/>
        <w:numPr>
          <w:ilvl w:val="0"/>
          <w:numId w:val="2"/>
        </w:numPr>
        <w:spacing w:after="80" w:line="276" w:lineRule="auto"/>
      </w:pPr>
      <w:r>
        <w:t>Access Control &amp; Segregation of Duties Procedure (MH-IT-AC-002)</w:t>
      </w:r>
    </w:p>
    <w:p w14:paraId="620CFD56" w14:textId="77777777" w:rsidR="00755A54" w:rsidRDefault="00000000">
      <w:pPr>
        <w:pStyle w:val="ListParagraph"/>
        <w:numPr>
          <w:ilvl w:val="0"/>
          <w:numId w:val="2"/>
        </w:numPr>
        <w:spacing w:after="80" w:line="276" w:lineRule="auto"/>
      </w:pPr>
      <w:r>
        <w:t>Order-to-Cash and Revenue Recognition Policy (MH-FIN-REV-009)</w:t>
      </w:r>
    </w:p>
    <w:p w14:paraId="275FA5DC" w14:textId="77777777" w:rsidR="00755A54" w:rsidRDefault="00000000">
      <w:pPr>
        <w:pStyle w:val="ListParagraph"/>
        <w:numPr>
          <w:ilvl w:val="0"/>
          <w:numId w:val="2"/>
        </w:numPr>
        <w:spacing w:after="80" w:line="276" w:lineRule="auto"/>
      </w:pPr>
      <w:r>
        <w:t>Cold-Chain Handling Procedure (MH-OPS-CC-021)</w:t>
      </w:r>
    </w:p>
    <w:p w14:paraId="1B6AB128" w14:textId="77777777" w:rsidR="00755A54" w:rsidRDefault="00000000">
      <w:pPr>
        <w:pStyle w:val="ListParagraph"/>
        <w:numPr>
          <w:ilvl w:val="0"/>
          <w:numId w:val="2"/>
        </w:numPr>
        <w:spacing w:after="80" w:line="276" w:lineRule="auto"/>
      </w:pPr>
      <w:r>
        <w:t>Quality Alert and Recall Management Procedure (MH-QA-REC-005)</w:t>
      </w:r>
    </w:p>
    <w:p w14:paraId="671B02E7" w14:textId="77777777" w:rsidR="00755A54" w:rsidRDefault="00000000">
      <w:pPr>
        <w:pStyle w:val="Heading2"/>
      </w:pPr>
      <w:proofErr w:type="gramStart"/>
      <w:r>
        <w:t>8.1  Selected</w:t>
      </w:r>
      <w:proofErr w:type="gramEnd"/>
      <w:r>
        <w:t xml:space="preserve"> 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755A54" w14:paraId="6314112E" w14:textId="77777777">
        <w:tblPrEx>
          <w:tblCellMar>
            <w:top w:w="0" w:type="dxa"/>
            <w:bottom w:w="0" w:type="dxa"/>
          </w:tblCellMar>
        </w:tblPrEx>
        <w:trPr>
          <w:tblHeader/>
        </w:trPr>
        <w:tc>
          <w:tcPr>
            <w:tcW w:w="2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24B3AAD" w14:textId="77777777" w:rsidR="00755A54" w:rsidRDefault="00000000">
            <w:r>
              <w:rPr>
                <w:b/>
                <w:bCs/>
                <w:color w:val="FFFFFF"/>
                <w:sz w:val="19"/>
                <w:szCs w:val="19"/>
              </w:rPr>
              <w:t>Term</w:t>
            </w:r>
          </w:p>
        </w:tc>
        <w:tc>
          <w:tcPr>
            <w:tcW w:w="66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B16C1C2" w14:textId="77777777" w:rsidR="00755A54" w:rsidRDefault="00000000">
            <w:r>
              <w:rPr>
                <w:b/>
                <w:bCs/>
                <w:color w:val="FFFFFF"/>
                <w:sz w:val="19"/>
                <w:szCs w:val="19"/>
              </w:rPr>
              <w:t>Definition</w:t>
            </w:r>
          </w:p>
        </w:tc>
      </w:tr>
      <w:tr w:rsidR="00755A54" w14:paraId="40E8977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E40C85" w14:textId="77777777" w:rsidR="00755A54" w:rsidRDefault="00000000">
            <w:r>
              <w:rPr>
                <w:sz w:val="19"/>
                <w:szCs w:val="19"/>
              </w:rPr>
              <w:t>Valuation date</w:t>
            </w:r>
          </w:p>
        </w:tc>
        <w:tc>
          <w:tcPr>
            <w:tcW w:w="6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C118FE" w14:textId="77777777" w:rsidR="00755A54" w:rsidRDefault="00000000">
            <w:r>
              <w:rPr>
                <w:sz w:val="19"/>
                <w:szCs w:val="19"/>
              </w:rPr>
              <w:t>The reporting date at which the inventory position is stated (e.g. the last day of the quarter).</w:t>
            </w:r>
          </w:p>
        </w:tc>
      </w:tr>
      <w:tr w:rsidR="00755A54" w14:paraId="7EF1915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3607D692" w14:textId="77777777" w:rsidR="00755A54" w:rsidRDefault="00000000">
            <w:r>
              <w:rPr>
                <w:sz w:val="19"/>
                <w:szCs w:val="19"/>
              </w:rPr>
              <w:t>NRV</w:t>
            </w:r>
          </w:p>
        </w:tc>
        <w:tc>
          <w:tcPr>
            <w:tcW w:w="66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65BF822B" w14:textId="77777777" w:rsidR="00755A54" w:rsidRDefault="00000000">
            <w:r>
              <w:rPr>
                <w:sz w:val="19"/>
                <w:szCs w:val="19"/>
              </w:rPr>
              <w:t>Net realisable value: estimated selling price less estimated costs to complete and sell.</w:t>
            </w:r>
          </w:p>
        </w:tc>
      </w:tr>
      <w:tr w:rsidR="00755A54" w14:paraId="15D3B70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2DCFB" w14:textId="77777777" w:rsidR="00755A54" w:rsidRDefault="00000000">
            <w:r>
              <w:rPr>
                <w:sz w:val="19"/>
                <w:szCs w:val="19"/>
              </w:rPr>
              <w:t>FOB Shipping Point</w:t>
            </w:r>
          </w:p>
        </w:tc>
        <w:tc>
          <w:tcPr>
            <w:tcW w:w="6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C43937" w14:textId="77777777" w:rsidR="00755A54" w:rsidRDefault="00000000">
            <w:r>
              <w:rPr>
                <w:sz w:val="19"/>
                <w:szCs w:val="19"/>
              </w:rPr>
              <w:t>Ownership transfers to the customer when goods leave the Meridian dock.</w:t>
            </w:r>
          </w:p>
        </w:tc>
      </w:tr>
      <w:tr w:rsidR="00755A54" w14:paraId="24AB20B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7620EB97" w14:textId="77777777" w:rsidR="00755A54" w:rsidRDefault="00000000">
            <w:r>
              <w:rPr>
                <w:sz w:val="19"/>
                <w:szCs w:val="19"/>
              </w:rPr>
              <w:t>FOB Destination</w:t>
            </w:r>
          </w:p>
        </w:tc>
        <w:tc>
          <w:tcPr>
            <w:tcW w:w="66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67FB0992" w14:textId="77777777" w:rsidR="00755A54" w:rsidRDefault="00000000">
            <w:r>
              <w:rPr>
                <w:sz w:val="19"/>
                <w:szCs w:val="19"/>
              </w:rPr>
              <w:t>Ownership remains with Meridian until goods are delivered to and accepted by the customer.</w:t>
            </w:r>
          </w:p>
        </w:tc>
      </w:tr>
      <w:tr w:rsidR="00755A54" w14:paraId="3C703BC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1233C4" w14:textId="77777777" w:rsidR="00755A54" w:rsidRDefault="00000000">
            <w:r>
              <w:rPr>
                <w:sz w:val="19"/>
                <w:szCs w:val="19"/>
              </w:rPr>
              <w:t>Sold-but-unrelieved lot</w:t>
            </w:r>
          </w:p>
        </w:tc>
        <w:tc>
          <w:tcPr>
            <w:tcW w:w="6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58BDA5" w14:textId="77777777" w:rsidR="00755A54" w:rsidRDefault="00000000">
            <w:r>
              <w:rPr>
                <w:sz w:val="19"/>
                <w:szCs w:val="19"/>
              </w:rPr>
              <w:t>A lot fully shipped with ownership transferred that erroneously remains in the on-hand records.</w:t>
            </w:r>
          </w:p>
        </w:tc>
      </w:tr>
      <w:tr w:rsidR="00755A54" w14:paraId="01D298E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38B33803" w14:textId="77777777" w:rsidR="00755A54" w:rsidRDefault="00000000">
            <w:r>
              <w:rPr>
                <w:sz w:val="19"/>
                <w:szCs w:val="19"/>
              </w:rPr>
              <w:t>Imputed expiry</w:t>
            </w:r>
          </w:p>
        </w:tc>
        <w:tc>
          <w:tcPr>
            <w:tcW w:w="6660" w:type="dxa"/>
            <w:tcBorders>
              <w:top w:val="single" w:sz="1" w:space="0" w:color="CCCCCC"/>
              <w:left w:val="single" w:sz="1" w:space="0" w:color="CCCCCC"/>
              <w:bottom w:val="single" w:sz="1" w:space="0" w:color="CCCCCC"/>
              <w:right w:val="single" w:sz="1" w:space="0" w:color="CCCCCC"/>
            </w:tcBorders>
            <w:shd w:val="clear" w:color="auto" w:fill="F2F5FA"/>
            <w:tcMar>
              <w:top w:w="80" w:type="dxa"/>
              <w:left w:w="120" w:type="dxa"/>
              <w:bottom w:w="80" w:type="dxa"/>
              <w:right w:w="120" w:type="dxa"/>
            </w:tcMar>
          </w:tcPr>
          <w:p w14:paraId="4E788D53" w14:textId="77777777" w:rsidR="00755A54" w:rsidRDefault="00000000">
            <w:r>
              <w:rPr>
                <w:sz w:val="19"/>
                <w:szCs w:val="19"/>
              </w:rPr>
              <w:t>An expiry date derived from manufacture date plus standard category shelf life where none is printed.</w:t>
            </w:r>
          </w:p>
        </w:tc>
      </w:tr>
    </w:tbl>
    <w:p w14:paraId="073F7630" w14:textId="77777777" w:rsidR="00755A54" w:rsidRDefault="00000000">
      <w:pPr>
        <w:spacing w:before="300"/>
        <w:jc w:val="center"/>
      </w:pPr>
      <w:r>
        <w:rPr>
          <w:i/>
          <w:iCs/>
          <w:color w:val="808080"/>
          <w:sz w:val="18"/>
          <w:szCs w:val="18"/>
        </w:rPr>
        <w:t>— End of controlled document —</w:t>
      </w:r>
    </w:p>
    <w:sectPr w:rsidR="00755A5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98D4" w14:textId="77777777" w:rsidR="00D82147" w:rsidRDefault="00D82147">
      <w:r>
        <w:separator/>
      </w:r>
    </w:p>
  </w:endnote>
  <w:endnote w:type="continuationSeparator" w:id="0">
    <w:p w14:paraId="579916AE" w14:textId="77777777" w:rsidR="00D82147" w:rsidRDefault="00D8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1051" w14:textId="77777777" w:rsidR="00755A54" w:rsidRDefault="00000000">
    <w:pPr>
      <w:pBdr>
        <w:top w:val="single" w:sz="4" w:space="4" w:color="C9C9C9"/>
      </w:pBdr>
      <w:tabs>
        <w:tab w:val="right" w:pos="9360"/>
      </w:tabs>
    </w:pPr>
    <w:r>
      <w:rPr>
        <w:color w:val="808080"/>
        <w:sz w:val="15"/>
        <w:szCs w:val="15"/>
      </w:rPr>
      <w:t>Doc. No. MH-OPS-INV-</w:t>
    </w:r>
    <w:proofErr w:type="gramStart"/>
    <w:r>
      <w:rPr>
        <w:color w:val="808080"/>
        <w:sz w:val="15"/>
        <w:szCs w:val="15"/>
      </w:rPr>
      <w:t>014  •</w:t>
    </w:r>
    <w:proofErr w:type="gramEnd"/>
    <w:r>
      <w:rPr>
        <w:color w:val="808080"/>
        <w:sz w:val="15"/>
        <w:szCs w:val="15"/>
      </w:rPr>
      <w:t xml:space="preserve">  Rev. </w:t>
    </w:r>
    <w:proofErr w:type="gramStart"/>
    <w:r>
      <w:rPr>
        <w:color w:val="808080"/>
        <w:sz w:val="15"/>
        <w:szCs w:val="15"/>
      </w:rPr>
      <w:t>6  •</w:t>
    </w:r>
    <w:proofErr w:type="gramEnd"/>
    <w:r>
      <w:rPr>
        <w:color w:val="808080"/>
        <w:sz w:val="15"/>
        <w:szCs w:val="15"/>
      </w:rPr>
      <w:t xml:space="preserve">  Effective 01-Oct-2025</w:t>
    </w:r>
    <w:r>
      <w:rPr>
        <w:color w:val="808080"/>
        <w:sz w:val="15"/>
        <w:szCs w:val="15"/>
      </w:rPr>
      <w:tab/>
      <w:t xml:space="preserve">Page </w:t>
    </w:r>
    <w:r>
      <w:rPr>
        <w:color w:val="808080"/>
        <w:sz w:val="15"/>
        <w:szCs w:val="15"/>
      </w:rPr>
      <w:fldChar w:fldCharType="begin"/>
    </w:r>
    <w:r>
      <w:rPr>
        <w:color w:val="808080"/>
        <w:sz w:val="15"/>
        <w:szCs w:val="15"/>
      </w:rPr>
      <w:instrText>PAGE</w:instrText>
    </w:r>
    <w:r>
      <w:rPr>
        <w:color w:val="808080"/>
        <w:sz w:val="15"/>
        <w:szCs w:val="15"/>
      </w:rPr>
      <w:fldChar w:fldCharType="separate"/>
    </w:r>
    <w:r w:rsidR="00D31814">
      <w:rPr>
        <w:noProof/>
        <w:color w:val="808080"/>
        <w:sz w:val="15"/>
        <w:szCs w:val="15"/>
      </w:rPr>
      <w:t>1</w:t>
    </w:r>
    <w:r>
      <w:rPr>
        <w:color w:val="808080"/>
        <w:sz w:val="15"/>
        <w:szCs w:val="15"/>
      </w:rPr>
      <w:fldChar w:fldCharType="end"/>
    </w:r>
    <w:r>
      <w:rPr>
        <w:color w:val="808080"/>
        <w:sz w:val="15"/>
        <w:szCs w:val="15"/>
      </w:rPr>
      <w:t xml:space="preserve"> of </w:t>
    </w:r>
    <w:r>
      <w:rPr>
        <w:color w:val="808080"/>
        <w:sz w:val="15"/>
        <w:szCs w:val="15"/>
      </w:rPr>
      <w:fldChar w:fldCharType="begin"/>
    </w:r>
    <w:r>
      <w:rPr>
        <w:color w:val="808080"/>
        <w:sz w:val="15"/>
        <w:szCs w:val="15"/>
      </w:rPr>
      <w:instrText>NUMPAGES</w:instrText>
    </w:r>
    <w:r>
      <w:rPr>
        <w:color w:val="808080"/>
        <w:sz w:val="15"/>
        <w:szCs w:val="15"/>
      </w:rPr>
      <w:fldChar w:fldCharType="separate"/>
    </w:r>
    <w:r w:rsidR="00D31814">
      <w:rPr>
        <w:noProof/>
        <w:color w:val="808080"/>
        <w:sz w:val="15"/>
        <w:szCs w:val="15"/>
      </w:rPr>
      <w:t>2</w:t>
    </w:r>
    <w:r>
      <w:rPr>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F5D3" w14:textId="77777777" w:rsidR="00D82147" w:rsidRDefault="00D82147">
      <w:r>
        <w:separator/>
      </w:r>
    </w:p>
  </w:footnote>
  <w:footnote w:type="continuationSeparator" w:id="0">
    <w:p w14:paraId="5D6709DE" w14:textId="77777777" w:rsidR="00D82147" w:rsidRDefault="00D8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C38C" w14:textId="77777777" w:rsidR="00755A54" w:rsidRDefault="00000000">
    <w:pPr>
      <w:pBdr>
        <w:bottom w:val="single" w:sz="4" w:space="4" w:color="C9C9C9"/>
      </w:pBdr>
      <w:tabs>
        <w:tab w:val="right" w:pos="9360"/>
      </w:tabs>
    </w:pPr>
    <w:r>
      <w:rPr>
        <w:b/>
        <w:bCs/>
        <w:color w:val="1F3864"/>
        <w:sz w:val="16"/>
        <w:szCs w:val="16"/>
      </w:rPr>
      <w:t>MERIDIAN HEALTH</w:t>
    </w:r>
    <w:r>
      <w:rPr>
        <w:color w:val="808080"/>
        <w:sz w:val="15"/>
        <w:szCs w:val="15"/>
      </w:rPr>
      <w:tab/>
      <w:t>Inventory &amp; Warehouse Operations Manual — INTERNAL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402F"/>
    <w:multiLevelType w:val="hybridMultilevel"/>
    <w:tmpl w:val="3226411C"/>
    <w:lvl w:ilvl="0" w:tplc="5D0AA8E8">
      <w:start w:val="1"/>
      <w:numFmt w:val="bullet"/>
      <w:lvlText w:val="•"/>
      <w:lvlJc w:val="left"/>
      <w:pPr>
        <w:ind w:left="720" w:hanging="360"/>
      </w:pPr>
    </w:lvl>
    <w:lvl w:ilvl="1" w:tplc="68A01FBE">
      <w:numFmt w:val="decimal"/>
      <w:lvlText w:val=""/>
      <w:lvlJc w:val="left"/>
    </w:lvl>
    <w:lvl w:ilvl="2" w:tplc="351CEE0E">
      <w:numFmt w:val="decimal"/>
      <w:lvlText w:val=""/>
      <w:lvlJc w:val="left"/>
    </w:lvl>
    <w:lvl w:ilvl="3" w:tplc="2F308928">
      <w:numFmt w:val="decimal"/>
      <w:lvlText w:val=""/>
      <w:lvlJc w:val="left"/>
    </w:lvl>
    <w:lvl w:ilvl="4" w:tplc="31A011A2">
      <w:numFmt w:val="decimal"/>
      <w:lvlText w:val=""/>
      <w:lvlJc w:val="left"/>
    </w:lvl>
    <w:lvl w:ilvl="5" w:tplc="E8E0A10C">
      <w:numFmt w:val="decimal"/>
      <w:lvlText w:val=""/>
      <w:lvlJc w:val="left"/>
    </w:lvl>
    <w:lvl w:ilvl="6" w:tplc="BC9670FE">
      <w:numFmt w:val="decimal"/>
      <w:lvlText w:val=""/>
      <w:lvlJc w:val="left"/>
    </w:lvl>
    <w:lvl w:ilvl="7" w:tplc="47760140">
      <w:numFmt w:val="decimal"/>
      <w:lvlText w:val=""/>
      <w:lvlJc w:val="left"/>
    </w:lvl>
    <w:lvl w:ilvl="8" w:tplc="5E7062FE">
      <w:numFmt w:val="decimal"/>
      <w:lvlText w:val=""/>
      <w:lvlJc w:val="left"/>
    </w:lvl>
  </w:abstractNum>
  <w:abstractNum w:abstractNumId="1" w15:restartNumberingAfterBreak="0">
    <w:nsid w:val="1DA16BB1"/>
    <w:multiLevelType w:val="hybridMultilevel"/>
    <w:tmpl w:val="791E0088"/>
    <w:lvl w:ilvl="0" w:tplc="DC9AA414">
      <w:start w:val="1"/>
      <w:numFmt w:val="bullet"/>
      <w:lvlText w:val="●"/>
      <w:lvlJc w:val="left"/>
      <w:pPr>
        <w:ind w:left="720" w:hanging="360"/>
      </w:pPr>
    </w:lvl>
    <w:lvl w:ilvl="1" w:tplc="410CB71E">
      <w:start w:val="1"/>
      <w:numFmt w:val="bullet"/>
      <w:lvlText w:val="○"/>
      <w:lvlJc w:val="left"/>
      <w:pPr>
        <w:ind w:left="1440" w:hanging="360"/>
      </w:pPr>
    </w:lvl>
    <w:lvl w:ilvl="2" w:tplc="A78C3AAE">
      <w:start w:val="1"/>
      <w:numFmt w:val="bullet"/>
      <w:lvlText w:val="■"/>
      <w:lvlJc w:val="left"/>
      <w:pPr>
        <w:ind w:left="2160" w:hanging="360"/>
      </w:pPr>
    </w:lvl>
    <w:lvl w:ilvl="3" w:tplc="ABFEC1DC">
      <w:start w:val="1"/>
      <w:numFmt w:val="bullet"/>
      <w:lvlText w:val="●"/>
      <w:lvlJc w:val="left"/>
      <w:pPr>
        <w:ind w:left="2880" w:hanging="360"/>
      </w:pPr>
    </w:lvl>
    <w:lvl w:ilvl="4" w:tplc="CBCCFAEC">
      <w:start w:val="1"/>
      <w:numFmt w:val="bullet"/>
      <w:lvlText w:val="○"/>
      <w:lvlJc w:val="left"/>
      <w:pPr>
        <w:ind w:left="3600" w:hanging="360"/>
      </w:pPr>
    </w:lvl>
    <w:lvl w:ilvl="5" w:tplc="E6A29AB4">
      <w:start w:val="1"/>
      <w:numFmt w:val="bullet"/>
      <w:lvlText w:val="■"/>
      <w:lvlJc w:val="left"/>
      <w:pPr>
        <w:ind w:left="4320" w:hanging="360"/>
      </w:pPr>
    </w:lvl>
    <w:lvl w:ilvl="6" w:tplc="511AC06A">
      <w:start w:val="1"/>
      <w:numFmt w:val="bullet"/>
      <w:lvlText w:val="●"/>
      <w:lvlJc w:val="left"/>
      <w:pPr>
        <w:ind w:left="5040" w:hanging="360"/>
      </w:pPr>
    </w:lvl>
    <w:lvl w:ilvl="7" w:tplc="301C0C34">
      <w:start w:val="1"/>
      <w:numFmt w:val="bullet"/>
      <w:lvlText w:val="●"/>
      <w:lvlJc w:val="left"/>
      <w:pPr>
        <w:ind w:left="5760" w:hanging="360"/>
      </w:pPr>
    </w:lvl>
    <w:lvl w:ilvl="8" w:tplc="AD507E7A">
      <w:start w:val="1"/>
      <w:numFmt w:val="bullet"/>
      <w:lvlText w:val="●"/>
      <w:lvlJc w:val="left"/>
      <w:pPr>
        <w:ind w:left="6480" w:hanging="360"/>
      </w:pPr>
    </w:lvl>
  </w:abstractNum>
  <w:abstractNum w:abstractNumId="2" w15:restartNumberingAfterBreak="0">
    <w:nsid w:val="22FE200C"/>
    <w:multiLevelType w:val="hybridMultilevel"/>
    <w:tmpl w:val="505C477C"/>
    <w:lvl w:ilvl="0" w:tplc="F47240FE">
      <w:start w:val="1"/>
      <w:numFmt w:val="bullet"/>
      <w:lvlText w:val="–"/>
      <w:lvlJc w:val="left"/>
      <w:pPr>
        <w:ind w:left="720" w:hanging="360"/>
      </w:pPr>
    </w:lvl>
    <w:lvl w:ilvl="1" w:tplc="D45A098A">
      <w:numFmt w:val="decimal"/>
      <w:lvlText w:val=""/>
      <w:lvlJc w:val="left"/>
    </w:lvl>
    <w:lvl w:ilvl="2" w:tplc="437E8C14">
      <w:numFmt w:val="decimal"/>
      <w:lvlText w:val=""/>
      <w:lvlJc w:val="left"/>
    </w:lvl>
    <w:lvl w:ilvl="3" w:tplc="7BAA8B0E">
      <w:numFmt w:val="decimal"/>
      <w:lvlText w:val=""/>
      <w:lvlJc w:val="left"/>
    </w:lvl>
    <w:lvl w:ilvl="4" w:tplc="1916D81A">
      <w:numFmt w:val="decimal"/>
      <w:lvlText w:val=""/>
      <w:lvlJc w:val="left"/>
    </w:lvl>
    <w:lvl w:ilvl="5" w:tplc="E2D0EAB6">
      <w:numFmt w:val="decimal"/>
      <w:lvlText w:val=""/>
      <w:lvlJc w:val="left"/>
    </w:lvl>
    <w:lvl w:ilvl="6" w:tplc="11400E28">
      <w:numFmt w:val="decimal"/>
      <w:lvlText w:val=""/>
      <w:lvlJc w:val="left"/>
    </w:lvl>
    <w:lvl w:ilvl="7" w:tplc="7F3CB932">
      <w:numFmt w:val="decimal"/>
      <w:lvlText w:val=""/>
      <w:lvlJc w:val="left"/>
    </w:lvl>
    <w:lvl w:ilvl="8" w:tplc="417E0D7C">
      <w:numFmt w:val="decimal"/>
      <w:lvlText w:val=""/>
      <w:lvlJc w:val="left"/>
    </w:lvl>
  </w:abstractNum>
  <w:abstractNum w:abstractNumId="3" w15:restartNumberingAfterBreak="0">
    <w:nsid w:val="366E6481"/>
    <w:multiLevelType w:val="hybridMultilevel"/>
    <w:tmpl w:val="C7F81620"/>
    <w:lvl w:ilvl="0" w:tplc="3C02A9A4">
      <w:start w:val="1"/>
      <w:numFmt w:val="decimal"/>
      <w:lvlText w:val="%1."/>
      <w:lvlJc w:val="left"/>
      <w:pPr>
        <w:ind w:left="720" w:hanging="360"/>
      </w:pPr>
    </w:lvl>
    <w:lvl w:ilvl="1" w:tplc="A4D2AAC4">
      <w:numFmt w:val="decimal"/>
      <w:lvlText w:val=""/>
      <w:lvlJc w:val="left"/>
    </w:lvl>
    <w:lvl w:ilvl="2" w:tplc="B83EB942">
      <w:numFmt w:val="decimal"/>
      <w:lvlText w:val=""/>
      <w:lvlJc w:val="left"/>
    </w:lvl>
    <w:lvl w:ilvl="3" w:tplc="C526C54A">
      <w:numFmt w:val="decimal"/>
      <w:lvlText w:val=""/>
      <w:lvlJc w:val="left"/>
    </w:lvl>
    <w:lvl w:ilvl="4" w:tplc="25209F50">
      <w:numFmt w:val="decimal"/>
      <w:lvlText w:val=""/>
      <w:lvlJc w:val="left"/>
    </w:lvl>
    <w:lvl w:ilvl="5" w:tplc="65201194">
      <w:numFmt w:val="decimal"/>
      <w:lvlText w:val=""/>
      <w:lvlJc w:val="left"/>
    </w:lvl>
    <w:lvl w:ilvl="6" w:tplc="C414CB4C">
      <w:numFmt w:val="decimal"/>
      <w:lvlText w:val=""/>
      <w:lvlJc w:val="left"/>
    </w:lvl>
    <w:lvl w:ilvl="7" w:tplc="DFC4EC90">
      <w:numFmt w:val="decimal"/>
      <w:lvlText w:val=""/>
      <w:lvlJc w:val="left"/>
    </w:lvl>
    <w:lvl w:ilvl="8" w:tplc="F4983310">
      <w:numFmt w:val="decimal"/>
      <w:lvlText w:val=""/>
      <w:lvlJc w:val="left"/>
    </w:lvl>
  </w:abstractNum>
  <w:num w:numId="1" w16cid:durableId="190529692">
    <w:abstractNumId w:val="1"/>
    <w:lvlOverride w:ilvl="0">
      <w:startOverride w:val="1"/>
    </w:lvlOverride>
  </w:num>
  <w:num w:numId="2" w16cid:durableId="98765334">
    <w:abstractNumId w:val="0"/>
    <w:lvlOverride w:ilvl="0">
      <w:startOverride w:val="1"/>
    </w:lvlOverride>
  </w:num>
  <w:num w:numId="3" w16cid:durableId="1675497859">
    <w:abstractNumId w:val="2"/>
    <w:lvlOverride w:ilvl="0">
      <w:startOverride w:val="1"/>
    </w:lvlOverride>
  </w:num>
  <w:num w:numId="4" w16cid:durableId="75270288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54"/>
    <w:rsid w:val="00755A54"/>
    <w:rsid w:val="00820888"/>
    <w:rsid w:val="00D31814"/>
    <w:rsid w:val="00D8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B99E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color w:val="1F3864"/>
      <w:sz w:val="30"/>
      <w:szCs w:val="30"/>
    </w:rPr>
  </w:style>
  <w:style w:type="paragraph" w:styleId="Heading2">
    <w:name w:val="heading 2"/>
    <w:uiPriority w:val="9"/>
    <w:unhideWhenUsed/>
    <w:qFormat/>
    <w:pPr>
      <w:spacing w:before="240" w:after="140"/>
      <w:outlineLvl w:val="1"/>
    </w:pPr>
    <w:rPr>
      <w:b/>
      <w:bCs/>
      <w:color w:val="2E5496"/>
      <w:sz w:val="25"/>
      <w:szCs w:val="2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2682</Words>
  <Characters>15102</Characters>
  <Application>Microsoft Office Word</Application>
  <DocSecurity>0</DocSecurity>
  <Lines>269</Lines>
  <Paragraphs>160</Paragraphs>
  <ScaleCrop>false</ScaleCrop>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&amp; Warehouse Operations Manual</dc:title>
  <dc:creator>Meridian Health — Finance &amp; Operations</dc:creator>
  <cp:lastModifiedBy>Kartik Dalal</cp:lastModifiedBy>
  <cp:revision>2</cp:revision>
  <dcterms:created xsi:type="dcterms:W3CDTF">2026-06-06T11:41:00Z</dcterms:created>
  <dcterms:modified xsi:type="dcterms:W3CDTF">2026-06-06T11:47:00Z</dcterms:modified>
</cp:coreProperties>
</file>