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96D5" w14:textId="77777777" w:rsidR="003C724D" w:rsidRDefault="003C724D" w:rsidP="003C724D">
      <w:pPr>
        <w:pStyle w:val="Title"/>
        <w:jc w:val="center"/>
      </w:pPr>
      <w:proofErr w:type="spellStart"/>
      <w:r>
        <w:t>UniCorn’s</w:t>
      </w:r>
      <w:proofErr w:type="spellEnd"/>
      <w:r>
        <w:t xml:space="preserve"> Core Investment Thesis &amp; Modeling Policy</w:t>
      </w:r>
    </w:p>
    <w:p w14:paraId="001D70C7" w14:textId="77777777" w:rsidR="003C724D" w:rsidRPr="00633FC9" w:rsidRDefault="003C724D" w:rsidP="003C724D">
      <w:pPr>
        <w:pStyle w:val="Heading1"/>
        <w:rPr>
          <w:b/>
          <w:bCs/>
        </w:rPr>
      </w:pPr>
      <w:r w:rsidRPr="00633FC9">
        <w:t xml:space="preserve">Unicorn </w:t>
      </w:r>
      <w:r>
        <w:t>uses below thesis and modeling to make investment decisions.</w:t>
      </w:r>
      <w:r w:rsidRPr="00633FC9">
        <w:t xml:space="preserve"> </w:t>
      </w:r>
    </w:p>
    <w:p w14:paraId="047C3E77" w14:textId="77777777" w:rsidR="003C724D" w:rsidRDefault="003C724D" w:rsidP="003C724D">
      <w:pPr>
        <w:pStyle w:val="Heading1"/>
      </w:pPr>
      <w:r>
        <w:t>1. Target Market Profile</w:t>
      </w:r>
    </w:p>
    <w:p w14:paraId="2D75093D" w14:textId="77777777" w:rsidR="003C724D" w:rsidRDefault="003C724D" w:rsidP="003C724D">
      <w:pPr>
        <w:pStyle w:val="ListBullet"/>
        <w:tabs>
          <w:tab w:val="num" w:pos="360"/>
        </w:tabs>
        <w:ind w:left="360" w:hanging="360"/>
      </w:pPr>
      <w:r>
        <w:rPr>
          <w:b/>
        </w:rPr>
        <w:t>Sector Focus:</w:t>
      </w:r>
      <w:r>
        <w:t xml:space="preserve"> Investments must be directed toward companies operating within sectors that demonstrate a dual profile of sustained, predictable growth and relative structural maturity. </w:t>
      </w:r>
      <w:proofErr w:type="gramStart"/>
      <w:r>
        <w:t>High-growth</w:t>
      </w:r>
      <w:proofErr w:type="gramEnd"/>
      <w:r>
        <w:t xml:space="preserve"> but highly speculative or nascent markets are excluded.</w:t>
      </w:r>
    </w:p>
    <w:p w14:paraId="7DF03F3C" w14:textId="77777777" w:rsidR="003C724D" w:rsidRDefault="003C724D" w:rsidP="003C724D">
      <w:pPr>
        <w:pStyle w:val="ListBullet"/>
        <w:tabs>
          <w:tab w:val="num" w:pos="360"/>
        </w:tabs>
        <w:ind w:left="360" w:hanging="360"/>
      </w:pPr>
      <w:r>
        <w:rPr>
          <w:b/>
        </w:rPr>
        <w:t>Maturity Threshold:</w:t>
      </w:r>
      <w:r>
        <w:t xml:space="preserve"> To qualify as a "mature market," the addressable market capitalization must be projected to exceed $1 trillion within a 5-year horizon.</w:t>
      </w:r>
    </w:p>
    <w:p w14:paraId="04B6E529" w14:textId="77777777" w:rsidR="003C724D" w:rsidRDefault="003C724D" w:rsidP="003C724D">
      <w:pPr>
        <w:pStyle w:val="ListBullet"/>
        <w:tabs>
          <w:tab w:val="num" w:pos="360"/>
        </w:tabs>
        <w:ind w:left="360" w:hanging="360"/>
      </w:pPr>
      <w:r>
        <w:rPr>
          <w:b/>
        </w:rPr>
        <w:t>Growth Threshold:</w:t>
      </w:r>
      <w:r>
        <w:t xml:space="preserve"> To qualify as a "growing business/market," the target must demonstrate a Compound Annual Growth Rate (CAGR) of 10% or greater.</w:t>
      </w:r>
    </w:p>
    <w:p w14:paraId="77821774" w14:textId="77777777" w:rsidR="003C724D" w:rsidRDefault="003C724D" w:rsidP="003C724D">
      <w:pPr>
        <w:pStyle w:val="ListBullet"/>
        <w:tabs>
          <w:tab w:val="num" w:pos="360"/>
        </w:tabs>
        <w:ind w:left="360" w:hanging="360"/>
      </w:pPr>
      <w:r>
        <w:rPr>
          <w:b/>
        </w:rPr>
        <w:t>Between maturity and growth, lean on growth.</w:t>
      </w:r>
      <w:r>
        <w:t xml:space="preserve"> In evaluating companies which have multiple core businesses/segments, only consider their top 2 segments at a maximum. If they play in just 1 core segment, consider just that segment.</w:t>
      </w:r>
    </w:p>
    <w:p w14:paraId="54CABADF" w14:textId="77777777" w:rsidR="003C724D" w:rsidRDefault="003C724D" w:rsidP="003C724D">
      <w:pPr>
        <w:pStyle w:val="Heading1"/>
      </w:pPr>
      <w:r>
        <w:t>2. Earnings, Growth Mechanics, Valuation &amp; Projections</w:t>
      </w:r>
    </w:p>
    <w:p w14:paraId="006FCEEA" w14:textId="77777777" w:rsidR="003C724D" w:rsidRDefault="003C724D" w:rsidP="003C724D">
      <w:pPr>
        <w:pStyle w:val="ListBullet"/>
        <w:tabs>
          <w:tab w:val="num" w:pos="360"/>
        </w:tabs>
        <w:ind w:left="360" w:hanging="360"/>
      </w:pPr>
      <w:r>
        <w:rPr>
          <w:b/>
        </w:rPr>
        <w:t>“Mega-Investment Exclusion EPS”:</w:t>
      </w:r>
      <w:r>
        <w:t xml:space="preserve"> While analyzing EPS of any target, to prevent outsized holdings from skewing core operational metrics, exclude the financial impact of any single external investment or asset (that the target would have made) valued at over $1 billion when calculating and evaluating EPS for that target.</w:t>
      </w:r>
    </w:p>
    <w:p w14:paraId="5C618893" w14:textId="77777777" w:rsidR="003C724D" w:rsidRDefault="003C724D" w:rsidP="003C724D">
      <w:pPr>
        <w:pStyle w:val="ListBullet"/>
        <w:tabs>
          <w:tab w:val="num" w:pos="360"/>
        </w:tabs>
        <w:ind w:left="360" w:hanging="360"/>
      </w:pPr>
      <w:r>
        <w:rPr>
          <w:b/>
        </w:rPr>
        <w:t>Baseline Growth Assumption:</w:t>
      </w:r>
      <w:r>
        <w:t xml:space="preserve"> For all forward-looking modelling, assume a baseline QoQ </w:t>
      </w:r>
      <w:r>
        <w:rPr>
          <w:b/>
        </w:rPr>
        <w:t>“Mega-Investment Exclusion EPS”</w:t>
      </w:r>
      <w:r>
        <w:t xml:space="preserve"> growth rate of 5%.</w:t>
      </w:r>
    </w:p>
    <w:p w14:paraId="24C157A1" w14:textId="77777777" w:rsidR="003C724D" w:rsidRDefault="003C724D" w:rsidP="003C724D">
      <w:pPr>
        <w:pStyle w:val="ListBullet"/>
        <w:tabs>
          <w:tab w:val="num" w:pos="360"/>
        </w:tabs>
        <w:ind w:left="360" w:hanging="360"/>
      </w:pPr>
      <w:r>
        <w:rPr>
          <w:b/>
        </w:rPr>
        <w:t>Private investments - Base Valuation Date:</w:t>
      </w:r>
      <w:r>
        <w:t xml:space="preserve"> All forward-looking projections for external private investments (that the target would have made) must utilize the most recent company valuations, strictly pegged to a baseline date of June 1, 2026. You can assume these valuations stay constant going forward for a year.</w:t>
      </w:r>
    </w:p>
    <w:p w14:paraId="284B93D5" w14:textId="77777777" w:rsidR="003C724D" w:rsidRDefault="003C724D" w:rsidP="003C724D">
      <w:pPr>
        <w:pStyle w:val="ListBullet"/>
        <w:tabs>
          <w:tab w:val="num" w:pos="360"/>
        </w:tabs>
        <w:ind w:left="360" w:hanging="360"/>
      </w:pPr>
      <w:r>
        <w:rPr>
          <w:b/>
        </w:rPr>
        <w:t>Public Equity Appreciation:</w:t>
      </w:r>
      <w:r>
        <w:t xml:space="preserve"> Capital appreciation for any public investments (that the target would have made) can be assumed as 2.5% QoQ.</w:t>
      </w:r>
    </w:p>
    <w:p w14:paraId="76730BC5" w14:textId="77777777" w:rsidR="003C724D" w:rsidRPr="00146A4F" w:rsidRDefault="003C724D" w:rsidP="003C724D">
      <w:pPr>
        <w:pStyle w:val="ListBullet"/>
        <w:tabs>
          <w:tab w:val="num" w:pos="360"/>
        </w:tabs>
        <w:ind w:left="360" w:hanging="360"/>
      </w:pPr>
      <w:r w:rsidRPr="008B1E81">
        <w:rPr>
          <w:b/>
          <w:bCs/>
        </w:rPr>
        <w:t>Annualization:</w:t>
      </w:r>
      <w:r>
        <w:t xml:space="preserve"> Assume the annual EPS as 4x the quarterly EPS. </w:t>
      </w:r>
    </w:p>
    <w:p w14:paraId="36978A04" w14:textId="77777777" w:rsidR="003C724D" w:rsidRDefault="003C724D" w:rsidP="003C724D">
      <w:pPr>
        <w:pStyle w:val="ListBullet"/>
        <w:tabs>
          <w:tab w:val="num" w:pos="360"/>
        </w:tabs>
        <w:ind w:left="360" w:hanging="360"/>
      </w:pPr>
      <w:r>
        <w:rPr>
          <w:b/>
        </w:rPr>
        <w:t>PE ratio assumption:</w:t>
      </w:r>
      <w:r>
        <w:t xml:space="preserve"> Use the median of forward PE across all Mag7 companies estimated by a tier 1 broker firm (Morgan Stanley, Goldman, JPMC, </w:t>
      </w:r>
      <w:proofErr w:type="spellStart"/>
      <w:r>
        <w:t>BoA</w:t>
      </w:r>
      <w:proofErr w:type="spellEnd"/>
      <w:r>
        <w:t xml:space="preserve"> or Citi) to forecast the stock price in future. </w:t>
      </w:r>
    </w:p>
    <w:p w14:paraId="6E968242" w14:textId="77777777" w:rsidR="003C724D" w:rsidRDefault="003C724D" w:rsidP="003C724D">
      <w:pPr>
        <w:pStyle w:val="Heading1"/>
      </w:pPr>
      <w:r>
        <w:t>3. Tax Standardization</w:t>
      </w:r>
    </w:p>
    <w:p w14:paraId="0D2EA026" w14:textId="6E2C0228" w:rsidR="008B72F1" w:rsidRDefault="003C724D" w:rsidP="003C724D">
      <w:pPr>
        <w:pStyle w:val="ListBullet"/>
        <w:tabs>
          <w:tab w:val="num" w:pos="360"/>
        </w:tabs>
        <w:ind w:left="360" w:hanging="360"/>
      </w:pPr>
      <w:r>
        <w:rPr>
          <w:b/>
        </w:rPr>
        <w:t>Tax Uniformity:</w:t>
      </w:r>
      <w:r>
        <w:t xml:space="preserve"> To ensure comparative consistency across models, apply a single, standardized corporate tax rate that each company used in the last quarter uniformly across all modeled revenue streams, capital gains, and cost components for that company.</w:t>
      </w:r>
    </w:p>
    <w:sectPr w:rsidR="008B72F1" w:rsidSect="003C724D">
      <w:footerReference w:type="default" r:id="rId5"/>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1388" w14:textId="77777777" w:rsidR="003C724D" w:rsidRDefault="003C724D">
    <w:pPr>
      <w:pStyle w:val="Footer"/>
      <w:jc w:val="center"/>
    </w:pPr>
    <w:r>
      <w:t>Fund Investment Thesis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6E032A"/>
    <w:lvl w:ilvl="0">
      <w:start w:val="1"/>
      <w:numFmt w:val="bullet"/>
      <w:pStyle w:val="ListBullet"/>
      <w:lvlText w:val=""/>
      <w:lvlJc w:val="left"/>
      <w:pPr>
        <w:tabs>
          <w:tab w:val="num" w:pos="360"/>
        </w:tabs>
        <w:ind w:left="360" w:hanging="360"/>
      </w:pPr>
      <w:rPr>
        <w:rFonts w:ascii="Symbol" w:hAnsi="Symbol" w:hint="default"/>
      </w:rPr>
    </w:lvl>
  </w:abstractNum>
  <w:num w:numId="1" w16cid:durableId="123577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4D"/>
    <w:rsid w:val="003C724D"/>
    <w:rsid w:val="00820888"/>
    <w:rsid w:val="008B72F1"/>
    <w:rsid w:val="00C210F4"/>
    <w:rsid w:val="00DB6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6FF190"/>
  <w15:chartTrackingRefBased/>
  <w15:docId w15:val="{83408BE2-26CD-4E46-83D2-115B20E9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4D"/>
    <w:pPr>
      <w:spacing w:after="120" w:line="259" w:lineRule="auto"/>
    </w:pPr>
    <w:rPr>
      <w:rFonts w:ascii="Aptos" w:eastAsia="Aptos" w:hAnsi="Aptos"/>
      <w:kern w:val="0"/>
      <w:sz w:val="21"/>
      <w:szCs w:val="22"/>
      <w:lang w:val="en-US"/>
      <w14:ligatures w14:val="none"/>
    </w:rPr>
  </w:style>
  <w:style w:type="paragraph" w:styleId="Heading1">
    <w:name w:val="heading 1"/>
    <w:basedOn w:val="Normal"/>
    <w:next w:val="Normal"/>
    <w:link w:val="Heading1Char"/>
    <w:uiPriority w:val="9"/>
    <w:qFormat/>
    <w:rsid w:val="003C7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24D"/>
    <w:rPr>
      <w:rFonts w:eastAsiaTheme="majorEastAsia" w:cstheme="majorBidi"/>
      <w:color w:val="272727" w:themeColor="text1" w:themeTint="D8"/>
    </w:rPr>
  </w:style>
  <w:style w:type="paragraph" w:styleId="Title">
    <w:name w:val="Title"/>
    <w:basedOn w:val="Normal"/>
    <w:next w:val="Normal"/>
    <w:link w:val="TitleChar"/>
    <w:uiPriority w:val="10"/>
    <w:qFormat/>
    <w:rsid w:val="003C7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24D"/>
    <w:pPr>
      <w:spacing w:before="160"/>
      <w:jc w:val="center"/>
    </w:pPr>
    <w:rPr>
      <w:i/>
      <w:iCs/>
      <w:color w:val="404040" w:themeColor="text1" w:themeTint="BF"/>
    </w:rPr>
  </w:style>
  <w:style w:type="character" w:customStyle="1" w:styleId="QuoteChar">
    <w:name w:val="Quote Char"/>
    <w:basedOn w:val="DefaultParagraphFont"/>
    <w:link w:val="Quote"/>
    <w:uiPriority w:val="29"/>
    <w:rsid w:val="003C724D"/>
    <w:rPr>
      <w:i/>
      <w:iCs/>
      <w:color w:val="404040" w:themeColor="text1" w:themeTint="BF"/>
    </w:rPr>
  </w:style>
  <w:style w:type="paragraph" w:styleId="ListParagraph">
    <w:name w:val="List Paragraph"/>
    <w:basedOn w:val="Normal"/>
    <w:uiPriority w:val="34"/>
    <w:qFormat/>
    <w:rsid w:val="003C724D"/>
    <w:pPr>
      <w:ind w:left="720"/>
      <w:contextualSpacing/>
    </w:pPr>
  </w:style>
  <w:style w:type="character" w:styleId="IntenseEmphasis">
    <w:name w:val="Intense Emphasis"/>
    <w:basedOn w:val="DefaultParagraphFont"/>
    <w:uiPriority w:val="21"/>
    <w:qFormat/>
    <w:rsid w:val="003C724D"/>
    <w:rPr>
      <w:i/>
      <w:iCs/>
      <w:color w:val="0F4761" w:themeColor="accent1" w:themeShade="BF"/>
    </w:rPr>
  </w:style>
  <w:style w:type="paragraph" w:styleId="IntenseQuote">
    <w:name w:val="Intense Quote"/>
    <w:basedOn w:val="Normal"/>
    <w:next w:val="Normal"/>
    <w:link w:val="IntenseQuoteChar"/>
    <w:uiPriority w:val="30"/>
    <w:qFormat/>
    <w:rsid w:val="003C7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24D"/>
    <w:rPr>
      <w:i/>
      <w:iCs/>
      <w:color w:val="0F4761" w:themeColor="accent1" w:themeShade="BF"/>
    </w:rPr>
  </w:style>
  <w:style w:type="character" w:styleId="IntenseReference">
    <w:name w:val="Intense Reference"/>
    <w:basedOn w:val="DefaultParagraphFont"/>
    <w:uiPriority w:val="32"/>
    <w:qFormat/>
    <w:rsid w:val="003C724D"/>
    <w:rPr>
      <w:b/>
      <w:bCs/>
      <w:smallCaps/>
      <w:color w:val="0F4761" w:themeColor="accent1" w:themeShade="BF"/>
      <w:spacing w:val="5"/>
    </w:rPr>
  </w:style>
  <w:style w:type="paragraph" w:styleId="Footer">
    <w:name w:val="footer"/>
    <w:basedOn w:val="Normal"/>
    <w:link w:val="FooterChar"/>
    <w:uiPriority w:val="99"/>
    <w:unhideWhenUsed/>
    <w:rsid w:val="003C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24D"/>
    <w:rPr>
      <w:rFonts w:ascii="Aptos" w:eastAsia="Aptos" w:hAnsi="Aptos"/>
      <w:kern w:val="0"/>
      <w:sz w:val="21"/>
      <w:szCs w:val="22"/>
      <w:lang w:val="en-US"/>
      <w14:ligatures w14:val="none"/>
    </w:rPr>
  </w:style>
  <w:style w:type="paragraph" w:styleId="ListBullet">
    <w:name w:val="List Bullet"/>
    <w:basedOn w:val="Normal"/>
    <w:uiPriority w:val="99"/>
    <w:unhideWhenUsed/>
    <w:rsid w:val="003C724D"/>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2070</Characters>
  <Application>Microsoft Office Word</Application>
  <DocSecurity>0</DocSecurity>
  <Lines>33</Lines>
  <Paragraphs>18</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Dalal</dc:creator>
  <cp:keywords/>
  <dc:description/>
  <cp:lastModifiedBy>Kartik Dalal</cp:lastModifiedBy>
  <cp:revision>1</cp:revision>
  <dcterms:created xsi:type="dcterms:W3CDTF">2026-06-08T15:10:00Z</dcterms:created>
  <dcterms:modified xsi:type="dcterms:W3CDTF">2026-06-08T15:11:00Z</dcterms:modified>
</cp:coreProperties>
</file>