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38ACB" w14:textId="77777777" w:rsidR="002C3248" w:rsidRDefault="00000000">
      <w:r>
        <w:rPr>
          <w:b/>
          <w:color w:val="1F3864"/>
          <w:sz w:val="40"/>
        </w:rPr>
        <w:t>Procurement Procedures — Tier 2</w:t>
      </w:r>
    </w:p>
    <w:p w14:paraId="4F206616" w14:textId="2E008E2D" w:rsidR="002C3248" w:rsidRDefault="00171592">
      <w:r>
        <w:t>Manufacturing Company</w:t>
      </w:r>
      <w:r w:rsidR="00000000">
        <w:t xml:space="preserve"> </w:t>
      </w:r>
      <w:r>
        <w:t>-</w:t>
      </w:r>
      <w:r w:rsidR="00000000">
        <w:t xml:space="preserve"> Corporate Procurement Function</w:t>
      </w:r>
    </w:p>
    <w:p w14:paraId="28F939C1" w14:textId="77777777" w:rsidR="002C3248" w:rsidRDefault="00000000">
      <w:r>
        <w:t>Version 2.1 | Effective Date: 1 March 2025 | Owner: Procurement Operations Manager</w:t>
      </w:r>
    </w:p>
    <w:p w14:paraId="7C2959D5" w14:textId="77777777" w:rsidR="002C3248" w:rsidRDefault="00000000">
      <w:r>
        <w:t>────────────────────────────────────────────────────────────────────────────────</w:t>
      </w:r>
    </w:p>
    <w:p w14:paraId="59682D79" w14:textId="77777777" w:rsidR="002C3248" w:rsidRDefault="002C3248"/>
    <w:p w14:paraId="0CA566C8" w14:textId="77777777" w:rsidR="002C3248" w:rsidRDefault="00000000">
      <w:pPr>
        <w:pStyle w:val="Heading1"/>
      </w:pPr>
      <w:r>
        <w:rPr>
          <w:color w:val="1F3864"/>
        </w:rPr>
        <w:t>1. Spend Classification Procedures</w:t>
      </w:r>
    </w:p>
    <w:p w14:paraId="4064C8BE" w14:textId="77777777" w:rsidR="002C3248" w:rsidRDefault="00000000">
      <w:r>
        <w:t>All purchase orders must be classified against the corporate spend taxonomy before the order is raised. The taxonomy uses three levels: Level 1 (buying family), Level 2 (subcategory), and Level 3 (specific service type). The spend code entered on the purchase order determines the default classification.</w:t>
      </w:r>
    </w:p>
    <w:p w14:paraId="757602CD" w14:textId="77777777" w:rsidR="002C3248" w:rsidRDefault="00000000">
      <w:pPr>
        <w:pStyle w:val="Heading2"/>
      </w:pPr>
      <w:r>
        <w:rPr>
          <w:color w:val="2E75B6"/>
        </w:rPr>
        <w:t>2. Cost Centre to Department Mapping</w:t>
      </w:r>
    </w:p>
    <w:p w14:paraId="4B567440" w14:textId="77777777" w:rsidR="002C3248" w:rsidRDefault="00000000">
      <w:r>
        <w:t>Where a spend code description is ambiguous and could sit in more than one category, the cost centre number must be used to determine the correct classification. The following ranges apply:</w:t>
      </w:r>
    </w:p>
    <w:p w14:paraId="4EB685CE" w14:textId="77777777" w:rsidR="002C3248" w:rsidRDefault="00000000">
      <w:pPr>
        <w:pStyle w:val="ListBullet"/>
      </w:pPr>
      <w:r>
        <w:t>190xxxxx: General Counsel's office. All spend against these cost centres falls under Legal Services, regardless of the description on the purchase order.</w:t>
      </w:r>
    </w:p>
    <w:p w14:paraId="4B37FF69" w14:textId="77777777" w:rsidR="002C3248" w:rsidRDefault="00000000">
      <w:pPr>
        <w:pStyle w:val="ListBullet"/>
      </w:pPr>
      <w:r>
        <w:t>200xxxxx: Strategy and Corporate Development. Spend against these cost centres falls under Management Consulting and Advisory Services.</w:t>
      </w:r>
    </w:p>
    <w:p w14:paraId="3E4E353D" w14:textId="77777777" w:rsidR="002C3248" w:rsidRDefault="00000000">
      <w:pPr>
        <w:pStyle w:val="ListBullet"/>
      </w:pPr>
      <w:r>
        <w:t>220xxxxx: Group Communications and Corporate Affairs. Spend against these cost centres falls under Marketing and Communications.</w:t>
      </w:r>
    </w:p>
    <w:p w14:paraId="595D33AF" w14:textId="77777777" w:rsidR="002C3248" w:rsidRDefault="00000000">
      <w:pPr>
        <w:pStyle w:val="ListBullet"/>
      </w:pPr>
      <w:r>
        <w:t>250xxxxx: Information Technology. Spend against these cost centres falls under Digital Technology.</w:t>
      </w:r>
    </w:p>
    <w:p w14:paraId="6794A833" w14:textId="77777777" w:rsidR="002C3248" w:rsidRDefault="00000000">
      <w:pPr>
        <w:pStyle w:val="ListBullet"/>
      </w:pPr>
      <w:r>
        <w:t>300xxxxx: Facilities and Workplace Services.</w:t>
      </w:r>
    </w:p>
    <w:p w14:paraId="4D058E62" w14:textId="77777777" w:rsidR="002C3248" w:rsidRDefault="00000000">
      <w:pPr>
        <w:pStyle w:val="ListBullet"/>
      </w:pPr>
      <w:r>
        <w:t>400xxxxx: Human Resources.</w:t>
      </w:r>
    </w:p>
    <w:p w14:paraId="693427FB" w14:textId="77777777" w:rsidR="002C3248" w:rsidRDefault="00000000">
      <w:pPr>
        <w:pStyle w:val="ListBullet"/>
      </w:pPr>
      <w:r>
        <w:t>500xxxxx: Operations and Engineering.</w:t>
      </w:r>
    </w:p>
    <w:p w14:paraId="10EEB4FC" w14:textId="77777777" w:rsidR="002C3248" w:rsidRDefault="00000000">
      <w:pPr>
        <w:pStyle w:val="Heading2"/>
      </w:pPr>
      <w:r>
        <w:rPr>
          <w:color w:val="2E75B6"/>
        </w:rPr>
        <w:t>3. Classification of Ambiguous Spend Types</w:t>
      </w:r>
    </w:p>
    <w:p w14:paraId="30A1D122" w14:textId="77777777" w:rsidR="002C3248" w:rsidRDefault="00000000">
      <w:r>
        <w:t>The following types of spend frequently appear under ambiguous descriptions and must be classified as follows:</w:t>
      </w:r>
    </w:p>
    <w:p w14:paraId="4AE0D7EC" w14:textId="77777777" w:rsidR="002C3248" w:rsidRDefault="00000000">
      <w:pPr>
        <w:pStyle w:val="ListBullet"/>
      </w:pPr>
      <w:r>
        <w:t>Advisory and Consulting Services appearing on a purchase order raised against a 190xxxxx cost centre: classify as Legal Services.</w:t>
      </w:r>
    </w:p>
    <w:p w14:paraId="2EC85905" w14:textId="77777777" w:rsidR="002C3248" w:rsidRDefault="00000000">
      <w:pPr>
        <w:pStyle w:val="ListBullet"/>
      </w:pPr>
      <w:r>
        <w:t>Advisory and Consulting Services appearing on a purchase order raised against a 200xxxxx cost centre: classify as Management Consulting.</w:t>
      </w:r>
    </w:p>
    <w:p w14:paraId="570BD7F3" w14:textId="77777777" w:rsidR="002C3248" w:rsidRDefault="00000000">
      <w:pPr>
        <w:pStyle w:val="ListBullet"/>
      </w:pPr>
      <w:r>
        <w:lastRenderedPageBreak/>
        <w:t>Employee engagement and satisfaction surveys commissioned and budget-owned by Group Communications: classify as Marketing and Communications — Market Research, not HR Services.</w:t>
      </w:r>
    </w:p>
    <w:p w14:paraId="7C687BE3" w14:textId="77777777" w:rsidR="002C3248" w:rsidRDefault="00000000">
      <w:pPr>
        <w:pStyle w:val="ListBullet"/>
      </w:pPr>
      <w:r>
        <w:t>Exhibition stand construction and installation: classify as Marketing and Communications — Events, even if the GL code used is from another category. The purchase description takes precedence over the GL code in such cases.</w:t>
      </w:r>
    </w:p>
    <w:p w14:paraId="4F65A1E9" w14:textId="77777777" w:rsidR="002C3248" w:rsidRDefault="00000000">
      <w:pPr>
        <w:pStyle w:val="Heading1"/>
      </w:pPr>
      <w:r>
        <w:rPr>
          <w:color w:val="1F3864"/>
        </w:rPr>
        <w:t>4. Sourcing Route Selection</w:t>
      </w:r>
    </w:p>
    <w:p w14:paraId="09013772" w14:textId="77777777" w:rsidR="002C3248" w:rsidRDefault="00000000">
      <w:r>
        <w:t>The sourcing route must be recorded on every purchase order. Where the route field is left blank, the transaction will be treated as non-compliant and escalated to the procurement manager. The following routes are available in the ERP system:</w:t>
      </w:r>
    </w:p>
    <w:p w14:paraId="0EB8D50D" w14:textId="77777777" w:rsidR="002C3248" w:rsidRDefault="00000000">
      <w:pPr>
        <w:pStyle w:val="ListBullet"/>
      </w:pPr>
      <w:r>
        <w:t>AGO: Officer-approved purchase. Used for low-value purchases below the RFQ threshold.</w:t>
      </w:r>
    </w:p>
    <w:p w14:paraId="63D215E2" w14:textId="77777777" w:rsidR="002C3248" w:rsidRDefault="00000000">
      <w:pPr>
        <w:pStyle w:val="ListBullet"/>
      </w:pPr>
      <w:r>
        <w:t>RFQ: Request for Quotation. Minimum three quotes required.</w:t>
      </w:r>
    </w:p>
    <w:p w14:paraId="0D9E67DB" w14:textId="77777777" w:rsidR="002C3248" w:rsidRDefault="00000000">
      <w:pPr>
        <w:pStyle w:val="ListBullet"/>
      </w:pPr>
      <w:r>
        <w:t>RFP: Request for Proposal. Full evaluation required with documented award recommendation.</w:t>
      </w:r>
    </w:p>
    <w:p w14:paraId="1102ED7D" w14:textId="77777777" w:rsidR="002C3248" w:rsidRDefault="00000000">
      <w:pPr>
        <w:pStyle w:val="ListBullet"/>
      </w:pPr>
      <w:r>
        <w:t>Call-off: Purchase against an existing framework agreement. Contract reference must be recorded.</w:t>
      </w:r>
    </w:p>
    <w:p w14:paraId="385D9F57" w14:textId="77777777" w:rsidR="002C3248" w:rsidRDefault="00000000">
      <w:pPr>
        <w:pStyle w:val="ListBullet"/>
      </w:pPr>
      <w:r>
        <w:t>Sole Source: Single supplier with no alternatives. Written justification required.</w:t>
      </w:r>
    </w:p>
    <w:p w14:paraId="7AB698A8" w14:textId="77777777" w:rsidR="002C3248" w:rsidRDefault="00000000">
      <w:pPr>
        <w:pStyle w:val="ListBullet"/>
      </w:pPr>
      <w:r>
        <w:t>Single Source: One supplier approached but competitive market exists. Justification required.</w:t>
      </w:r>
    </w:p>
    <w:p w14:paraId="4A0B4CE2" w14:textId="77777777" w:rsidR="002C3248" w:rsidRDefault="00000000">
      <w:pPr>
        <w:pStyle w:val="ListBullet"/>
      </w:pPr>
      <w:r>
        <w:t>VO: Variation Order against an existing contract. Original contract reference must be recorded.</w:t>
      </w:r>
    </w:p>
    <w:p w14:paraId="2E914A80" w14:textId="77777777" w:rsidR="002C3248" w:rsidRDefault="00000000">
      <w:pPr>
        <w:pStyle w:val="Heading1"/>
      </w:pPr>
      <w:r>
        <w:rPr>
          <w:color w:val="1F3864"/>
        </w:rPr>
        <w:t>5. Contract Reference Linkage</w:t>
      </w:r>
    </w:p>
    <w:p w14:paraId="16E3E685" w14:textId="77777777" w:rsidR="002C3248" w:rsidRDefault="00000000">
      <w:r>
        <w:t>Where a purchase order is raised against an existing contract or framework agreement, the contract reference number must be entered in the designated field in the ERP system. This is mandatory for all call-off and variation order transactions. The absence of a contract reference on a purchase order does not indicate that no contract exists — it may indicate a data entry gap. Procurement teams must verify against the contracts register and purchase agreements file before concluding that spend is off-contract.</w:t>
      </w:r>
    </w:p>
    <w:p w14:paraId="400F43E0" w14:textId="77777777" w:rsidR="002C3248" w:rsidRDefault="00000000">
      <w:pPr>
        <w:pStyle w:val="Heading1"/>
      </w:pPr>
      <w:r>
        <w:rPr>
          <w:color w:val="1F3864"/>
        </w:rPr>
        <w:t>6. Retired Spend Codes</w:t>
      </w:r>
    </w:p>
    <w:p w14:paraId="24ABADC3" w14:textId="77777777" w:rsidR="002C3248" w:rsidRDefault="00000000">
      <w:r>
        <w:t>Spend codes are periodically retired as part of ERP system maintenance and migrations. Retired codes must not be used on new purchase orders. Where a retired code is identified in historical spend data, it must be reclassified using the current code crosswalk maintained by the Finance team. The current crosswalk is available from the Finance Business Partner for each function.</w:t>
      </w:r>
    </w:p>
    <w:sectPr w:rsidR="002C3248"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1444701">
    <w:abstractNumId w:val="8"/>
  </w:num>
  <w:num w:numId="2" w16cid:durableId="1925265632">
    <w:abstractNumId w:val="6"/>
  </w:num>
  <w:num w:numId="3" w16cid:durableId="847132963">
    <w:abstractNumId w:val="5"/>
  </w:num>
  <w:num w:numId="4" w16cid:durableId="1165895527">
    <w:abstractNumId w:val="4"/>
  </w:num>
  <w:num w:numId="5" w16cid:durableId="1756702539">
    <w:abstractNumId w:val="7"/>
  </w:num>
  <w:num w:numId="6" w16cid:durableId="2066905707">
    <w:abstractNumId w:val="3"/>
  </w:num>
  <w:num w:numId="7" w16cid:durableId="1149058722">
    <w:abstractNumId w:val="2"/>
  </w:num>
  <w:num w:numId="8" w16cid:durableId="143863492">
    <w:abstractNumId w:val="1"/>
  </w:num>
  <w:num w:numId="9" w16cid:durableId="20410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1592"/>
    <w:rsid w:val="0029639D"/>
    <w:rsid w:val="002C3248"/>
    <w:rsid w:val="00326F90"/>
    <w:rsid w:val="0082088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C52DE"/>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3523</Characters>
  <Application>Microsoft Office Word</Application>
  <DocSecurity>0</DocSecurity>
  <Lines>64</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2026-06-07T11:01:00Z</dcterms:modified>
  <cp:category/>
</cp:coreProperties>
</file>